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CF2" w:rsidRPr="00490B1D" w:rsidRDefault="002E3CF2" w:rsidP="00570C0E">
      <w:pPr>
        <w:widowControl/>
        <w:spacing w:line="360" w:lineRule="auto"/>
        <w:rPr>
          <w:rFonts w:asciiTheme="majorBidi" w:hAnsiTheme="majorBidi" w:cstheme="majorBidi"/>
          <w:b/>
          <w:bCs/>
          <w:color w:val="000000" w:themeColor="text1"/>
        </w:rPr>
      </w:pPr>
    </w:p>
    <w:p w:rsidR="009E682C" w:rsidRPr="00490B1D" w:rsidRDefault="009E682C" w:rsidP="00570C0E">
      <w:pPr>
        <w:widowControl/>
        <w:spacing w:line="360" w:lineRule="auto"/>
        <w:jc w:val="center"/>
        <w:rPr>
          <w:rFonts w:asciiTheme="majorBidi" w:hAnsiTheme="majorBidi" w:cstheme="majorBidi"/>
          <w:b/>
          <w:bCs/>
          <w:color w:val="660033"/>
        </w:rPr>
      </w:pPr>
    </w:p>
    <w:p w:rsidR="00912704" w:rsidRPr="00490B1D" w:rsidRDefault="00912704" w:rsidP="00570C0E">
      <w:pPr>
        <w:widowControl/>
        <w:spacing w:line="360" w:lineRule="auto"/>
        <w:jc w:val="center"/>
        <w:rPr>
          <w:rFonts w:asciiTheme="majorBidi" w:hAnsiTheme="majorBidi" w:cstheme="majorBidi"/>
          <w:b/>
          <w:bCs/>
          <w:color w:val="660033"/>
          <w:sz w:val="26"/>
          <w:szCs w:val="26"/>
        </w:rPr>
      </w:pPr>
      <w:r w:rsidRPr="00490B1D">
        <w:rPr>
          <w:rFonts w:asciiTheme="majorBidi" w:hAnsiTheme="majorBidi" w:cstheme="majorBidi"/>
          <w:b/>
          <w:bCs/>
          <w:color w:val="660033"/>
          <w:sz w:val="26"/>
          <w:szCs w:val="26"/>
        </w:rPr>
        <w:t>Note d’information</w:t>
      </w:r>
      <w:r w:rsidR="0069792B" w:rsidRPr="00490B1D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du Haut-commissariat au Plan</w:t>
      </w:r>
    </w:p>
    <w:p w:rsidR="00912704" w:rsidRPr="00490B1D" w:rsidRDefault="00097300" w:rsidP="00570C0E">
      <w:pPr>
        <w:widowControl/>
        <w:spacing w:line="360" w:lineRule="auto"/>
        <w:jc w:val="center"/>
        <w:rPr>
          <w:rFonts w:asciiTheme="majorBidi" w:hAnsiTheme="majorBidi" w:cstheme="majorBidi"/>
          <w:b/>
          <w:bCs/>
          <w:color w:val="660033"/>
          <w:sz w:val="26"/>
          <w:szCs w:val="26"/>
        </w:rPr>
      </w:pPr>
      <w:r w:rsidRPr="00490B1D">
        <w:rPr>
          <w:rFonts w:asciiTheme="majorBidi" w:hAnsiTheme="majorBidi" w:cstheme="majorBidi"/>
          <w:b/>
          <w:bCs/>
          <w:color w:val="660033"/>
          <w:sz w:val="26"/>
          <w:szCs w:val="26"/>
        </w:rPr>
        <w:t>R</w:t>
      </w:r>
      <w:r w:rsidR="00912704" w:rsidRPr="00490B1D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ésultats de l’enquête de conjoncture auprès des ménages </w:t>
      </w:r>
    </w:p>
    <w:p w:rsidR="00912704" w:rsidRPr="00490B1D" w:rsidRDefault="00F04852" w:rsidP="00570C0E">
      <w:pPr>
        <w:widowControl/>
        <w:spacing w:line="360" w:lineRule="auto"/>
        <w:jc w:val="center"/>
        <w:rPr>
          <w:rFonts w:asciiTheme="majorBidi" w:hAnsiTheme="majorBidi" w:cstheme="majorBidi"/>
          <w:b/>
          <w:bCs/>
          <w:color w:val="660033"/>
          <w:sz w:val="26"/>
          <w:szCs w:val="26"/>
        </w:rPr>
      </w:pPr>
      <w:r w:rsidRPr="00490B1D">
        <w:rPr>
          <w:rFonts w:asciiTheme="majorBidi" w:hAnsiTheme="majorBidi" w:cstheme="majorBidi"/>
          <w:b/>
          <w:bCs/>
          <w:color w:val="660033"/>
          <w:sz w:val="26"/>
          <w:szCs w:val="26"/>
        </w:rPr>
        <w:t>Deuxième</w:t>
      </w:r>
      <w:r w:rsidR="00E22192" w:rsidRPr="00490B1D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trimestre de</w:t>
      </w:r>
      <w:r w:rsidR="00546559" w:rsidRPr="00490B1D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l’année</w:t>
      </w:r>
      <w:r w:rsidR="00A6076A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</w:t>
      </w:r>
      <w:r w:rsidR="0097329A">
        <w:rPr>
          <w:rFonts w:asciiTheme="majorBidi" w:hAnsiTheme="majorBidi" w:cstheme="majorBidi"/>
          <w:b/>
          <w:bCs/>
          <w:color w:val="660033"/>
          <w:sz w:val="26"/>
          <w:szCs w:val="26"/>
        </w:rPr>
        <w:t>2024</w:t>
      </w:r>
    </w:p>
    <w:p w:rsidR="00570C0E" w:rsidRPr="00490B1D" w:rsidRDefault="00570C0E" w:rsidP="00570C0E">
      <w:pPr>
        <w:widowControl/>
        <w:spacing w:line="360" w:lineRule="auto"/>
        <w:jc w:val="both"/>
        <w:rPr>
          <w:rFonts w:asciiTheme="majorBidi" w:hAnsiTheme="majorBidi" w:cstheme="majorBidi"/>
          <w:b/>
          <w:color w:val="000000" w:themeColor="text1"/>
          <w:rtl/>
        </w:rPr>
      </w:pPr>
    </w:p>
    <w:p w:rsidR="007F6C77" w:rsidRPr="00490B1D" w:rsidRDefault="007F6C77" w:rsidP="00A6076A">
      <w:pPr>
        <w:widowControl/>
        <w:spacing w:line="360" w:lineRule="auto"/>
        <w:jc w:val="both"/>
        <w:rPr>
          <w:rFonts w:asciiTheme="majorBidi" w:hAnsiTheme="majorBidi" w:cstheme="majorBidi"/>
          <w:b/>
          <w:color w:val="000000" w:themeColor="text1"/>
        </w:rPr>
      </w:pPr>
      <w:r w:rsidRPr="00C706A5">
        <w:rPr>
          <w:rFonts w:ascii="Times New Roman" w:hAnsi="Times New Roman" w:cs="Times New Roman"/>
          <w:b/>
          <w:color w:val="000000" w:themeColor="text1"/>
        </w:rPr>
        <w:t>Les résultats de l’enquête permanente de conjoncture auprès des ménages, menée par le HCP, montrent qu</w:t>
      </w:r>
      <w:r>
        <w:rPr>
          <w:rFonts w:ascii="Times New Roman" w:hAnsi="Times New Roman" w:cs="Times New Roman"/>
          <w:b/>
          <w:color w:val="000000" w:themeColor="text1"/>
        </w:rPr>
        <w:t xml:space="preserve">’au deuxième trimestre de </w:t>
      </w:r>
      <w:r>
        <w:rPr>
          <w:rFonts w:asciiTheme="majorBidi" w:hAnsiTheme="majorBidi" w:cstheme="majorBidi"/>
          <w:b/>
          <w:color w:val="000000" w:themeColor="text1"/>
        </w:rPr>
        <w:t>2024</w:t>
      </w:r>
      <w:r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Pr="00C706A5">
        <w:rPr>
          <w:rFonts w:ascii="Times New Roman" w:hAnsi="Times New Roman" w:cs="Times New Roman"/>
          <w:b/>
          <w:color w:val="000000" w:themeColor="text1"/>
        </w:rPr>
        <w:t xml:space="preserve"> l’Indice de </w:t>
      </w:r>
      <w:r w:rsidRPr="00BD713D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Confiance</w:t>
      </w:r>
      <w:r w:rsidRPr="00C706A5">
        <w:rPr>
          <w:rFonts w:ascii="Times New Roman" w:hAnsi="Times New Roman" w:cs="Times New Roman"/>
          <w:b/>
          <w:color w:val="000000" w:themeColor="text1"/>
        </w:rPr>
        <w:t xml:space="preserve"> des Ménages (ICM) </w:t>
      </w:r>
      <w:r w:rsidR="007A748C">
        <w:rPr>
          <w:rFonts w:ascii="Times New Roman" w:hAnsi="Times New Roman" w:cs="Times New Roman"/>
          <w:b/>
          <w:color w:val="000000" w:themeColor="text1"/>
        </w:rPr>
        <w:t xml:space="preserve">enregistre une </w:t>
      </w:r>
      <w:r w:rsidR="00A6076A" w:rsidRPr="00BB4988">
        <w:rPr>
          <w:rFonts w:ascii="Times New Roman" w:hAnsi="Times New Roman" w:cs="Times New Roman"/>
          <w:b/>
          <w:color w:val="000000" w:themeColor="text1"/>
        </w:rPr>
        <w:t>relative</w:t>
      </w:r>
      <w:r w:rsidR="007A748C">
        <w:rPr>
          <w:rFonts w:ascii="Times New Roman" w:hAnsi="Times New Roman" w:cs="Times New Roman"/>
          <w:b/>
          <w:color w:val="000000" w:themeColor="text1"/>
        </w:rPr>
        <w:t xml:space="preserve"> amélioration aussi bien par rapport au trimestre précédent que par rapport au même trimestre de l’année 2023.</w:t>
      </w:r>
    </w:p>
    <w:p w:rsidR="00444815" w:rsidRDefault="00444815" w:rsidP="00444815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0838BF" w:rsidRPr="00444815" w:rsidRDefault="00444815" w:rsidP="00444815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444815">
        <w:rPr>
          <w:rFonts w:asciiTheme="majorBidi" w:hAnsiTheme="majorBidi" w:cstheme="majorBidi"/>
          <w:color w:val="000000" w:themeColor="text1"/>
        </w:rPr>
        <w:t>L’indice</w:t>
      </w:r>
      <w:r w:rsidR="0044099F" w:rsidRPr="00444815">
        <w:rPr>
          <w:rFonts w:asciiTheme="majorBidi" w:hAnsiTheme="majorBidi" w:cstheme="majorBidi"/>
          <w:color w:val="000000" w:themeColor="text1"/>
        </w:rPr>
        <w:t xml:space="preserve"> de confiance des ménages (ICM) s’</w:t>
      </w:r>
      <w:r w:rsidRPr="00444815">
        <w:rPr>
          <w:rFonts w:asciiTheme="majorBidi" w:hAnsiTheme="majorBidi" w:cstheme="majorBidi"/>
          <w:color w:val="000000" w:themeColor="text1"/>
        </w:rPr>
        <w:t xml:space="preserve">est ainsi </w:t>
      </w:r>
      <w:r w:rsidR="0044099F" w:rsidRPr="00444815">
        <w:rPr>
          <w:rFonts w:asciiTheme="majorBidi" w:hAnsiTheme="majorBidi" w:cstheme="majorBidi"/>
          <w:color w:val="000000" w:themeColor="text1"/>
        </w:rPr>
        <w:t xml:space="preserve">établi à </w:t>
      </w:r>
      <w:r w:rsidR="0097329A" w:rsidRPr="00444815">
        <w:rPr>
          <w:rFonts w:ascii="Times New Roman" w:hAnsi="Times New Roman" w:cs="Times New Roman"/>
          <w:color w:val="000000"/>
        </w:rPr>
        <w:t>46,1</w:t>
      </w:r>
      <w:r w:rsidR="007A748C" w:rsidRPr="00444815">
        <w:rPr>
          <w:rFonts w:ascii="Times New Roman" w:hAnsi="Times New Roman" w:cs="Times New Roman"/>
          <w:color w:val="000000"/>
        </w:rPr>
        <w:t xml:space="preserve"> </w:t>
      </w:r>
      <w:r w:rsidR="00F04852" w:rsidRPr="00444815">
        <w:rPr>
          <w:rFonts w:asciiTheme="majorBidi" w:hAnsiTheme="majorBidi" w:cstheme="majorBidi"/>
          <w:color w:val="000000" w:themeColor="text1"/>
        </w:rPr>
        <w:t>points</w:t>
      </w:r>
      <w:r w:rsidRPr="00444815">
        <w:rPr>
          <w:rFonts w:asciiTheme="majorBidi" w:hAnsiTheme="majorBidi" w:cstheme="majorBidi"/>
          <w:color w:val="000000" w:themeColor="text1"/>
        </w:rPr>
        <w:t>,</w:t>
      </w:r>
      <w:r w:rsidR="00CD17D5" w:rsidRPr="00444815">
        <w:rPr>
          <w:rFonts w:asciiTheme="majorBidi" w:hAnsiTheme="majorBidi" w:cstheme="majorBidi"/>
          <w:color w:val="000000" w:themeColor="text1"/>
        </w:rPr>
        <w:t xml:space="preserve"> au lieu de </w:t>
      </w:r>
      <w:r w:rsidR="0097329A" w:rsidRPr="00444815">
        <w:rPr>
          <w:rFonts w:ascii="Times New Roman" w:hAnsi="Times New Roman" w:cs="Times New Roman"/>
          <w:color w:val="000000"/>
        </w:rPr>
        <w:t>45,3</w:t>
      </w:r>
      <w:r w:rsidR="007A748C" w:rsidRPr="00444815">
        <w:rPr>
          <w:rFonts w:ascii="Times New Roman" w:hAnsi="Times New Roman" w:cs="Times New Roman"/>
          <w:color w:val="000000"/>
        </w:rPr>
        <w:t xml:space="preserve"> </w:t>
      </w:r>
      <w:r w:rsidR="00580123" w:rsidRPr="00444815">
        <w:rPr>
          <w:rFonts w:asciiTheme="majorBidi" w:hAnsiTheme="majorBidi" w:cstheme="majorBidi"/>
          <w:color w:val="000000" w:themeColor="text1"/>
        </w:rPr>
        <w:t xml:space="preserve">points enregistrés le trimestre </w:t>
      </w:r>
      <w:r w:rsidR="000838BF" w:rsidRPr="00444815">
        <w:rPr>
          <w:rFonts w:asciiTheme="majorBidi" w:hAnsiTheme="majorBidi" w:cstheme="majorBidi"/>
          <w:color w:val="000000" w:themeColor="text1"/>
        </w:rPr>
        <w:t>précéd</w:t>
      </w:r>
      <w:r w:rsidR="00BC42E9" w:rsidRPr="00444815">
        <w:rPr>
          <w:rFonts w:asciiTheme="majorBidi" w:hAnsiTheme="majorBidi" w:cstheme="majorBidi"/>
          <w:color w:val="000000" w:themeColor="text1"/>
        </w:rPr>
        <w:t>e</w:t>
      </w:r>
      <w:r w:rsidR="000838BF" w:rsidRPr="00444815">
        <w:rPr>
          <w:rFonts w:asciiTheme="majorBidi" w:hAnsiTheme="majorBidi" w:cstheme="majorBidi"/>
          <w:color w:val="000000" w:themeColor="text1"/>
        </w:rPr>
        <w:t>nt</w:t>
      </w:r>
      <w:r w:rsidR="00580123" w:rsidRPr="00444815">
        <w:rPr>
          <w:rFonts w:asciiTheme="majorBidi" w:hAnsiTheme="majorBidi" w:cstheme="majorBidi"/>
          <w:color w:val="000000" w:themeColor="text1"/>
        </w:rPr>
        <w:t xml:space="preserve"> et</w:t>
      </w:r>
      <w:r w:rsidR="007A748C" w:rsidRPr="00444815">
        <w:rPr>
          <w:rFonts w:asciiTheme="majorBidi" w:hAnsiTheme="majorBidi" w:cstheme="majorBidi"/>
          <w:color w:val="000000" w:themeColor="text1"/>
        </w:rPr>
        <w:t xml:space="preserve"> </w:t>
      </w:r>
      <w:r w:rsidR="0097329A" w:rsidRPr="00444815">
        <w:rPr>
          <w:rFonts w:asciiTheme="majorBidi" w:hAnsiTheme="majorBidi" w:cstheme="majorBidi"/>
          <w:color w:val="000000" w:themeColor="text1"/>
        </w:rPr>
        <w:t>45,4</w:t>
      </w:r>
      <w:r w:rsidR="007A748C" w:rsidRPr="00444815">
        <w:rPr>
          <w:rFonts w:asciiTheme="majorBidi" w:hAnsiTheme="majorBidi" w:cstheme="majorBidi"/>
          <w:color w:val="000000" w:themeColor="text1"/>
        </w:rPr>
        <w:t xml:space="preserve"> </w:t>
      </w:r>
      <w:r w:rsidR="00580123" w:rsidRPr="00444815">
        <w:rPr>
          <w:rFonts w:asciiTheme="majorBidi" w:hAnsiTheme="majorBidi" w:cstheme="majorBidi"/>
          <w:color w:val="000000" w:themeColor="text1"/>
        </w:rPr>
        <w:t xml:space="preserve">points </w:t>
      </w:r>
      <w:r w:rsidR="00FA0B9D" w:rsidRPr="00444815">
        <w:rPr>
          <w:rFonts w:asciiTheme="majorBidi" w:hAnsiTheme="majorBidi" w:cstheme="majorBidi"/>
          <w:color w:val="000000" w:themeColor="text1"/>
        </w:rPr>
        <w:t>le même trimestre de l’année précédente</w:t>
      </w:r>
      <w:r w:rsidR="00580123" w:rsidRPr="00444815">
        <w:rPr>
          <w:rFonts w:asciiTheme="majorBidi" w:hAnsiTheme="majorBidi" w:cstheme="majorBidi"/>
          <w:color w:val="000000" w:themeColor="text1"/>
        </w:rPr>
        <w:t>.</w:t>
      </w:r>
    </w:p>
    <w:p w:rsidR="007F6C77" w:rsidRPr="00490B1D" w:rsidRDefault="007F6C77" w:rsidP="00570C0E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4C1BAB" w:rsidRPr="00490B1D" w:rsidRDefault="002830E2" w:rsidP="00570C0E">
      <w:pPr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Graphique 1 : Evolution de l'indice de confiance des ménages </w:t>
      </w:r>
    </w:p>
    <w:p w:rsidR="003F2957" w:rsidRPr="00490B1D" w:rsidRDefault="0097329A" w:rsidP="007A748C">
      <w:pPr>
        <w:tabs>
          <w:tab w:val="left" w:pos="709"/>
          <w:tab w:val="left" w:pos="3402"/>
        </w:tabs>
        <w:spacing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>
        <w:rPr>
          <w:noProof/>
        </w:rPr>
        <w:drawing>
          <wp:inline distT="0" distB="0" distL="0" distR="0">
            <wp:extent cx="6631132" cy="3823854"/>
            <wp:effectExtent l="19050" t="0" r="17318" b="5196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54591" w:rsidRPr="00490B1D" w:rsidRDefault="00354591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5203E1" w:rsidRPr="00490B1D" w:rsidRDefault="005203E1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color w:val="000000" w:themeColor="text1"/>
        </w:rPr>
      </w:pPr>
    </w:p>
    <w:p w:rsidR="00DE4509" w:rsidRPr="00490B1D" w:rsidRDefault="00DE4509" w:rsidP="00570C0E">
      <w:pPr>
        <w:spacing w:line="360" w:lineRule="auto"/>
        <w:jc w:val="center"/>
        <w:rPr>
          <w:rFonts w:asciiTheme="majorBidi" w:hAnsiTheme="majorBidi" w:cstheme="majorBidi"/>
          <w:color w:val="000000" w:themeColor="text1"/>
          <w:rtl/>
        </w:rPr>
      </w:pPr>
    </w:p>
    <w:p w:rsidR="00570C0E" w:rsidRPr="00490B1D" w:rsidRDefault="00570C0E" w:rsidP="00570C0E">
      <w:pPr>
        <w:spacing w:line="360" w:lineRule="auto"/>
        <w:jc w:val="center"/>
        <w:rPr>
          <w:rFonts w:asciiTheme="majorBidi" w:hAnsiTheme="majorBidi" w:cstheme="majorBidi"/>
          <w:color w:val="000000" w:themeColor="text1"/>
          <w:rtl/>
        </w:rPr>
      </w:pPr>
    </w:p>
    <w:p w:rsidR="00570C0E" w:rsidRPr="00490B1D" w:rsidRDefault="00570C0E" w:rsidP="00570C0E">
      <w:pPr>
        <w:spacing w:line="360" w:lineRule="auto"/>
        <w:jc w:val="center"/>
        <w:rPr>
          <w:rFonts w:asciiTheme="majorBidi" w:hAnsiTheme="majorBidi" w:cstheme="majorBidi"/>
          <w:color w:val="000000" w:themeColor="text1"/>
        </w:rPr>
      </w:pPr>
    </w:p>
    <w:p w:rsidR="008D3806" w:rsidRPr="00444815" w:rsidRDefault="006F1D72" w:rsidP="00570C0E">
      <w:pPr>
        <w:pStyle w:val="Paragraphedeliste"/>
        <w:numPr>
          <w:ilvl w:val="0"/>
          <w:numId w:val="9"/>
        </w:numPr>
        <w:spacing w:line="360" w:lineRule="auto"/>
        <w:ind w:left="284" w:hanging="284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bookmarkStart w:id="0" w:name="_Ref379209308"/>
      <w:r w:rsidRPr="00444815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lastRenderedPageBreak/>
        <w:t xml:space="preserve">Evolution des </w:t>
      </w:r>
      <w:r w:rsidR="00860E86" w:rsidRPr="00444815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composantes de</w:t>
      </w:r>
      <w:r w:rsidRPr="00444815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l'ICM</w:t>
      </w:r>
      <w:bookmarkEnd w:id="0"/>
    </w:p>
    <w:p w:rsidR="00C07FB5" w:rsidRPr="00490B1D" w:rsidRDefault="00722F6F" w:rsidP="00570C0E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490B1D">
        <w:rPr>
          <w:rFonts w:asciiTheme="majorBidi" w:hAnsiTheme="majorBidi" w:cstheme="majorBidi"/>
          <w:color w:val="000000" w:themeColor="text1"/>
        </w:rPr>
        <w:t>L</w:t>
      </w:r>
      <w:r w:rsidR="00560ED1" w:rsidRPr="00490B1D">
        <w:rPr>
          <w:rFonts w:asciiTheme="majorBidi" w:hAnsiTheme="majorBidi" w:cstheme="majorBidi"/>
          <w:color w:val="000000" w:themeColor="text1"/>
        </w:rPr>
        <w:t xml:space="preserve">es composantes </w:t>
      </w:r>
      <w:r w:rsidRPr="00490B1D">
        <w:rPr>
          <w:rFonts w:asciiTheme="majorBidi" w:hAnsiTheme="majorBidi" w:cstheme="majorBidi"/>
          <w:color w:val="000000" w:themeColor="text1"/>
        </w:rPr>
        <w:t xml:space="preserve">de l’ICM </w:t>
      </w:r>
      <w:r w:rsidR="00560ED1" w:rsidRPr="00490B1D">
        <w:rPr>
          <w:rFonts w:asciiTheme="majorBidi" w:hAnsiTheme="majorBidi" w:cstheme="majorBidi"/>
          <w:color w:val="000000" w:themeColor="text1"/>
        </w:rPr>
        <w:t>portent sur la perception par les ménages de l’évolution du niveau de vie</w:t>
      </w:r>
      <w:r w:rsidR="005C2EDD" w:rsidRPr="00490B1D">
        <w:rPr>
          <w:rFonts w:asciiTheme="majorBidi" w:hAnsiTheme="majorBidi" w:cstheme="majorBidi"/>
          <w:color w:val="000000" w:themeColor="text1"/>
        </w:rPr>
        <w:t>,</w:t>
      </w:r>
      <w:r w:rsidR="00560ED1" w:rsidRPr="00490B1D">
        <w:rPr>
          <w:rFonts w:asciiTheme="majorBidi" w:hAnsiTheme="majorBidi" w:cstheme="majorBidi"/>
          <w:color w:val="000000" w:themeColor="text1"/>
        </w:rPr>
        <w:t xml:space="preserve"> du chômage, de </w:t>
      </w:r>
      <w:r w:rsidR="008F33D5" w:rsidRPr="00490B1D">
        <w:rPr>
          <w:rFonts w:asciiTheme="majorBidi" w:hAnsiTheme="majorBidi" w:cstheme="majorBidi"/>
          <w:color w:val="000000" w:themeColor="text1"/>
        </w:rPr>
        <w:t>l’opportunité</w:t>
      </w:r>
      <w:r w:rsidR="00560ED1" w:rsidRPr="00490B1D">
        <w:rPr>
          <w:rFonts w:asciiTheme="majorBidi" w:hAnsiTheme="majorBidi" w:cstheme="majorBidi"/>
          <w:color w:val="000000" w:themeColor="text1"/>
        </w:rPr>
        <w:t xml:space="preserve"> à </w:t>
      </w:r>
      <w:r w:rsidR="008F33D5" w:rsidRPr="00490B1D">
        <w:rPr>
          <w:rFonts w:asciiTheme="majorBidi" w:hAnsiTheme="majorBidi" w:cstheme="majorBidi"/>
          <w:color w:val="000000" w:themeColor="text1"/>
        </w:rPr>
        <w:t>effectuer des achats de</w:t>
      </w:r>
      <w:r w:rsidR="00560ED1" w:rsidRPr="00490B1D">
        <w:rPr>
          <w:rFonts w:asciiTheme="majorBidi" w:hAnsiTheme="majorBidi" w:cstheme="majorBidi"/>
          <w:color w:val="000000" w:themeColor="text1"/>
        </w:rPr>
        <w:t xml:space="preserve"> biens</w:t>
      </w:r>
      <w:r w:rsidR="00C07FB5" w:rsidRPr="00490B1D">
        <w:rPr>
          <w:rFonts w:asciiTheme="majorBidi" w:hAnsiTheme="majorBidi" w:cstheme="majorBidi"/>
          <w:color w:val="000000" w:themeColor="text1"/>
        </w:rPr>
        <w:t xml:space="preserve"> durables et de </w:t>
      </w:r>
      <w:r w:rsidR="00560ED1" w:rsidRPr="00490B1D">
        <w:rPr>
          <w:rFonts w:asciiTheme="majorBidi" w:hAnsiTheme="majorBidi" w:cstheme="majorBidi"/>
          <w:color w:val="000000" w:themeColor="text1"/>
        </w:rPr>
        <w:t>leur situation financière.</w:t>
      </w:r>
    </w:p>
    <w:p w:rsidR="00A6076A" w:rsidRPr="002D58D8" w:rsidRDefault="00D22361" w:rsidP="00D22361">
      <w:pPr>
        <w:pStyle w:val="Paragraphedeliste"/>
        <w:numPr>
          <w:ilvl w:val="0"/>
          <w:numId w:val="8"/>
        </w:numPr>
        <w:spacing w:before="24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Sentiment d’une am</w:t>
      </w:r>
      <w:r w:rsidR="00A6076A" w:rsidRPr="002D58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élioration du niveau de vie </w:t>
      </w: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par l</w:t>
      </w:r>
      <w:r w:rsidR="00A6076A" w:rsidRPr="002D58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es ménages </w:t>
      </w:r>
    </w:p>
    <w:p w:rsidR="001161F3" w:rsidRDefault="00580123" w:rsidP="007A748C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490B1D">
        <w:rPr>
          <w:rFonts w:asciiTheme="majorBidi" w:hAnsiTheme="majorBidi" w:cstheme="majorBidi"/>
          <w:color w:val="000000" w:themeColor="text1"/>
        </w:rPr>
        <w:t xml:space="preserve">Au </w:t>
      </w:r>
      <w:r w:rsidR="00F04852" w:rsidRPr="00490B1D">
        <w:rPr>
          <w:rFonts w:asciiTheme="majorBidi" w:hAnsiTheme="majorBidi" w:cstheme="majorBidi"/>
          <w:color w:val="000000" w:themeColor="text1"/>
        </w:rPr>
        <w:t>deuxième</w:t>
      </w:r>
      <w:r w:rsidR="00D55501" w:rsidRPr="00490B1D">
        <w:rPr>
          <w:rFonts w:asciiTheme="majorBidi" w:hAnsiTheme="majorBidi" w:cstheme="majorBidi"/>
          <w:color w:val="000000" w:themeColor="text1"/>
        </w:rPr>
        <w:t xml:space="preserve"> trimestre</w:t>
      </w:r>
      <w:r w:rsidR="007A748C">
        <w:rPr>
          <w:rFonts w:asciiTheme="majorBidi" w:hAnsiTheme="majorBidi" w:cstheme="majorBidi"/>
          <w:color w:val="000000" w:themeColor="text1"/>
        </w:rPr>
        <w:t xml:space="preserve"> </w:t>
      </w:r>
      <w:r w:rsidR="00707360" w:rsidRPr="00490B1D">
        <w:rPr>
          <w:rFonts w:asciiTheme="majorBidi" w:hAnsiTheme="majorBidi" w:cstheme="majorBidi"/>
          <w:color w:val="000000" w:themeColor="text1"/>
        </w:rPr>
        <w:t>de</w:t>
      </w:r>
      <w:r w:rsidR="007A748C">
        <w:rPr>
          <w:rFonts w:asciiTheme="majorBidi" w:hAnsiTheme="majorBidi" w:cstheme="majorBidi"/>
          <w:color w:val="000000" w:themeColor="text1"/>
        </w:rPr>
        <w:t xml:space="preserve"> </w:t>
      </w:r>
      <w:r w:rsidR="0097329A">
        <w:rPr>
          <w:rFonts w:asciiTheme="majorBidi" w:hAnsiTheme="majorBidi" w:cstheme="majorBidi"/>
          <w:color w:val="000000" w:themeColor="text1"/>
        </w:rPr>
        <w:t>2024</w:t>
      </w:r>
      <w:r w:rsidRPr="00490B1D">
        <w:rPr>
          <w:rFonts w:asciiTheme="majorBidi" w:hAnsiTheme="majorBidi" w:cstheme="majorBidi"/>
          <w:color w:val="000000" w:themeColor="text1"/>
        </w:rPr>
        <w:t xml:space="preserve">, </w:t>
      </w:r>
      <w:r w:rsidR="00B51868" w:rsidRPr="00D7317E">
        <w:rPr>
          <w:rFonts w:asciiTheme="majorBidi" w:hAnsiTheme="majorBidi" w:cstheme="majorBidi"/>
          <w:color w:val="000000" w:themeColor="text1"/>
        </w:rPr>
        <w:t>82,</w:t>
      </w:r>
      <w:r w:rsidR="00543872" w:rsidRPr="00D7317E">
        <w:rPr>
          <w:rFonts w:asciiTheme="majorBidi" w:hAnsiTheme="majorBidi" w:cstheme="majorBidi"/>
          <w:color w:val="000000" w:themeColor="text1"/>
        </w:rPr>
        <w:t>6</w:t>
      </w:r>
      <w:r w:rsidR="00CC4120" w:rsidRPr="00490B1D">
        <w:rPr>
          <w:rFonts w:asciiTheme="majorBidi" w:hAnsiTheme="majorBidi" w:cstheme="majorBidi"/>
          <w:color w:val="000000" w:themeColor="text1"/>
        </w:rPr>
        <w:t>%</w:t>
      </w:r>
      <w:r w:rsidR="007A748C">
        <w:rPr>
          <w:rFonts w:asciiTheme="majorBidi" w:hAnsiTheme="majorBidi" w:cstheme="majorBidi"/>
          <w:color w:val="000000" w:themeColor="text1"/>
        </w:rPr>
        <w:t xml:space="preserve"> </w:t>
      </w:r>
      <w:r w:rsidRPr="00490B1D">
        <w:rPr>
          <w:rFonts w:asciiTheme="majorBidi" w:hAnsiTheme="majorBidi" w:cstheme="majorBidi"/>
          <w:color w:val="000000" w:themeColor="text1"/>
        </w:rPr>
        <w:t xml:space="preserve">des ménages déclarent une dégradation du niveau de vie au cours des 12 derniers mois, </w:t>
      </w:r>
      <w:r w:rsidR="00B51868" w:rsidRPr="00D7317E">
        <w:rPr>
          <w:rFonts w:asciiTheme="majorBidi" w:hAnsiTheme="majorBidi" w:cstheme="majorBidi"/>
          <w:color w:val="000000" w:themeColor="text1"/>
        </w:rPr>
        <w:t>13,</w:t>
      </w:r>
      <w:r w:rsidR="00543872" w:rsidRPr="00D7317E">
        <w:rPr>
          <w:rFonts w:asciiTheme="majorBidi" w:hAnsiTheme="majorBidi" w:cstheme="majorBidi"/>
          <w:color w:val="000000" w:themeColor="text1"/>
        </w:rPr>
        <w:t>0</w:t>
      </w:r>
      <w:r w:rsidR="00E067D0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Pr="00490B1D">
        <w:rPr>
          <w:rFonts w:asciiTheme="majorBidi" w:hAnsiTheme="majorBidi" w:cstheme="majorBidi"/>
          <w:color w:val="000000" w:themeColor="text1"/>
        </w:rPr>
        <w:t xml:space="preserve">un maintien au même niveau et </w:t>
      </w:r>
      <w:r w:rsidR="00B51868" w:rsidRPr="00D7317E">
        <w:rPr>
          <w:rFonts w:asciiTheme="majorBidi" w:hAnsiTheme="majorBidi" w:cstheme="majorBidi"/>
          <w:color w:val="000000" w:themeColor="text1"/>
        </w:rPr>
        <w:t>4,4</w:t>
      </w:r>
      <w:r w:rsidR="00E067D0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Pr="00490B1D">
        <w:rPr>
          <w:rFonts w:asciiTheme="majorBidi" w:hAnsiTheme="majorBidi" w:cstheme="majorBidi"/>
          <w:color w:val="000000" w:themeColor="text1"/>
        </w:rPr>
        <w:t xml:space="preserve">une amélioration. Le solde d’opinion </w:t>
      </w:r>
      <w:r w:rsidR="007A748C">
        <w:rPr>
          <w:rFonts w:asciiTheme="majorBidi" w:hAnsiTheme="majorBidi" w:cstheme="majorBidi"/>
          <w:color w:val="000000" w:themeColor="text1"/>
        </w:rPr>
        <w:t xml:space="preserve">relatif à </w:t>
      </w:r>
      <w:r w:rsidRPr="00490B1D">
        <w:rPr>
          <w:rFonts w:asciiTheme="majorBidi" w:hAnsiTheme="majorBidi" w:cstheme="majorBidi"/>
          <w:color w:val="000000" w:themeColor="text1"/>
        </w:rPr>
        <w:t>l’évolution passée du niveau de vie est resté négatif</w:t>
      </w:r>
      <w:r w:rsidR="007A748C">
        <w:rPr>
          <w:rFonts w:asciiTheme="majorBidi" w:hAnsiTheme="majorBidi" w:cstheme="majorBidi"/>
          <w:color w:val="000000" w:themeColor="text1"/>
        </w:rPr>
        <w:t xml:space="preserve"> </w:t>
      </w:r>
      <w:r w:rsidR="00543872" w:rsidRPr="00490B1D">
        <w:rPr>
          <w:rFonts w:asciiTheme="majorBidi" w:hAnsiTheme="majorBidi" w:cstheme="majorBidi"/>
          <w:color w:val="000000" w:themeColor="text1"/>
        </w:rPr>
        <w:t xml:space="preserve">à </w:t>
      </w:r>
      <w:r w:rsidRPr="00490B1D">
        <w:rPr>
          <w:rFonts w:asciiTheme="majorBidi" w:hAnsiTheme="majorBidi" w:cstheme="majorBidi"/>
          <w:color w:val="000000" w:themeColor="text1"/>
        </w:rPr>
        <w:t xml:space="preserve">moins </w:t>
      </w:r>
      <w:r w:rsidR="00AF4A68" w:rsidRPr="00D7317E">
        <w:rPr>
          <w:rFonts w:asciiTheme="majorBidi" w:hAnsiTheme="majorBidi" w:cstheme="majorBidi"/>
          <w:color w:val="000000" w:themeColor="text1"/>
        </w:rPr>
        <w:t>78,2</w:t>
      </w:r>
      <w:r w:rsidR="007A748C">
        <w:rPr>
          <w:rFonts w:asciiTheme="majorBidi" w:hAnsiTheme="majorBidi" w:cstheme="majorBidi"/>
          <w:color w:val="000000" w:themeColor="text1"/>
        </w:rPr>
        <w:t xml:space="preserve"> </w:t>
      </w:r>
      <w:r w:rsidRPr="00490B1D">
        <w:rPr>
          <w:rFonts w:asciiTheme="majorBidi" w:hAnsiTheme="majorBidi" w:cstheme="majorBidi"/>
          <w:color w:val="000000" w:themeColor="text1"/>
        </w:rPr>
        <w:t>points</w:t>
      </w:r>
      <w:r w:rsidR="00CD5F53" w:rsidRPr="00490B1D">
        <w:rPr>
          <w:rFonts w:asciiTheme="majorBidi" w:hAnsiTheme="majorBidi" w:cstheme="majorBidi"/>
          <w:color w:val="000000" w:themeColor="text1"/>
        </w:rPr>
        <w:t xml:space="preserve">, contre moins </w:t>
      </w:r>
      <w:r w:rsidR="00AF4A68" w:rsidRPr="00D7317E">
        <w:rPr>
          <w:rFonts w:asciiTheme="majorBidi" w:hAnsiTheme="majorBidi" w:cstheme="majorBidi"/>
          <w:color w:val="000000" w:themeColor="text1"/>
        </w:rPr>
        <w:t xml:space="preserve">78,1 </w:t>
      </w:r>
      <w:r w:rsidR="00CD5F53" w:rsidRPr="00490B1D">
        <w:rPr>
          <w:rFonts w:asciiTheme="majorBidi" w:hAnsiTheme="majorBidi" w:cstheme="majorBidi"/>
          <w:color w:val="000000" w:themeColor="text1"/>
        </w:rPr>
        <w:t xml:space="preserve">points </w:t>
      </w:r>
      <w:r w:rsidR="0005569E" w:rsidRPr="00490B1D">
        <w:rPr>
          <w:rFonts w:asciiTheme="majorBidi" w:hAnsiTheme="majorBidi" w:cstheme="majorBidi"/>
          <w:color w:val="000000" w:themeColor="text1"/>
        </w:rPr>
        <w:t>au trimestre</w:t>
      </w:r>
      <w:r w:rsidR="007A748C">
        <w:rPr>
          <w:rFonts w:asciiTheme="majorBidi" w:hAnsiTheme="majorBidi" w:cstheme="majorBidi"/>
          <w:color w:val="000000" w:themeColor="text1"/>
        </w:rPr>
        <w:t xml:space="preserve"> </w:t>
      </w:r>
      <w:r w:rsidR="00E061AE" w:rsidRPr="00490B1D">
        <w:rPr>
          <w:rFonts w:asciiTheme="majorBidi" w:hAnsiTheme="majorBidi" w:cstheme="majorBidi"/>
          <w:color w:val="000000" w:themeColor="text1"/>
        </w:rPr>
        <w:t>précédent</w:t>
      </w:r>
      <w:r w:rsidR="007A748C">
        <w:rPr>
          <w:rFonts w:asciiTheme="majorBidi" w:hAnsiTheme="majorBidi" w:cstheme="majorBidi"/>
          <w:color w:val="000000" w:themeColor="text1"/>
        </w:rPr>
        <w:t xml:space="preserve"> </w:t>
      </w:r>
      <w:r w:rsidR="0005569E" w:rsidRPr="00490B1D">
        <w:rPr>
          <w:rFonts w:asciiTheme="majorBidi" w:hAnsiTheme="majorBidi" w:cstheme="majorBidi"/>
          <w:color w:val="000000" w:themeColor="text1"/>
        </w:rPr>
        <w:t>et moins</w:t>
      </w:r>
      <w:r w:rsidR="007A748C">
        <w:rPr>
          <w:rFonts w:asciiTheme="majorBidi" w:hAnsiTheme="majorBidi" w:cstheme="majorBidi"/>
          <w:color w:val="000000" w:themeColor="text1"/>
        </w:rPr>
        <w:t xml:space="preserve"> </w:t>
      </w:r>
      <w:r w:rsidR="00AF4A68" w:rsidRPr="00490B1D">
        <w:rPr>
          <w:rFonts w:asciiTheme="majorBidi" w:hAnsiTheme="majorBidi" w:cstheme="majorBidi"/>
          <w:color w:val="000000" w:themeColor="text1"/>
        </w:rPr>
        <w:t xml:space="preserve">84,6 </w:t>
      </w:r>
      <w:r w:rsidR="00CD5F53" w:rsidRPr="00490B1D">
        <w:rPr>
          <w:rFonts w:asciiTheme="majorBidi" w:hAnsiTheme="majorBidi" w:cstheme="majorBidi"/>
          <w:color w:val="000000" w:themeColor="text1"/>
        </w:rPr>
        <w:t>points au même trimestre de l’année passée</w:t>
      </w:r>
      <w:r w:rsidRPr="00490B1D">
        <w:rPr>
          <w:rFonts w:asciiTheme="majorBidi" w:hAnsiTheme="majorBidi" w:cstheme="majorBidi"/>
          <w:color w:val="000000" w:themeColor="text1"/>
        </w:rPr>
        <w:t>.</w:t>
      </w:r>
    </w:p>
    <w:p w:rsidR="00203316" w:rsidRPr="00490B1D" w:rsidRDefault="00203316" w:rsidP="00570C0E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F15720" w:rsidRDefault="00EB605E" w:rsidP="007A748C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490B1D">
        <w:rPr>
          <w:rFonts w:asciiTheme="majorBidi" w:hAnsiTheme="majorBidi" w:cstheme="majorBidi"/>
          <w:color w:val="000000" w:themeColor="text1"/>
        </w:rPr>
        <w:t>S’agissant de l’évolution du niveau de vie a</w:t>
      </w:r>
      <w:r w:rsidR="00580123" w:rsidRPr="00490B1D">
        <w:rPr>
          <w:rFonts w:asciiTheme="majorBidi" w:hAnsiTheme="majorBidi" w:cstheme="majorBidi"/>
          <w:color w:val="000000" w:themeColor="text1"/>
        </w:rPr>
        <w:t xml:space="preserve">u cours des 12 prochains mois, </w:t>
      </w:r>
      <w:r w:rsidR="00B51868" w:rsidRPr="00D7317E">
        <w:rPr>
          <w:rFonts w:asciiTheme="majorBidi" w:hAnsiTheme="majorBidi" w:cstheme="majorBidi"/>
          <w:color w:val="000000" w:themeColor="text1"/>
        </w:rPr>
        <w:t>55,1</w:t>
      </w:r>
      <w:r w:rsidR="00E067D0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="00580123" w:rsidRPr="00490B1D">
        <w:rPr>
          <w:rFonts w:asciiTheme="majorBidi" w:hAnsiTheme="majorBidi" w:cstheme="majorBidi"/>
          <w:color w:val="000000" w:themeColor="text1"/>
        </w:rPr>
        <w:t xml:space="preserve">des ménages s’attendent à une dégradation, </w:t>
      </w:r>
      <w:r w:rsidR="00B51868" w:rsidRPr="00D7317E">
        <w:rPr>
          <w:rFonts w:asciiTheme="majorBidi" w:hAnsiTheme="majorBidi" w:cstheme="majorBidi"/>
          <w:color w:val="000000" w:themeColor="text1"/>
        </w:rPr>
        <w:t>35,9</w:t>
      </w:r>
      <w:r w:rsidR="00E067D0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="000F2E6E" w:rsidRPr="00490B1D">
        <w:rPr>
          <w:rFonts w:asciiTheme="majorBidi" w:hAnsiTheme="majorBidi" w:cstheme="majorBidi"/>
          <w:color w:val="000000" w:themeColor="text1"/>
        </w:rPr>
        <w:t>à un maintien au même nive</w:t>
      </w:r>
      <w:r w:rsidR="00580123" w:rsidRPr="00490B1D">
        <w:rPr>
          <w:rFonts w:asciiTheme="majorBidi" w:hAnsiTheme="majorBidi" w:cstheme="majorBidi"/>
          <w:color w:val="000000" w:themeColor="text1"/>
        </w:rPr>
        <w:t xml:space="preserve">au et </w:t>
      </w:r>
      <w:r w:rsidR="00B51868" w:rsidRPr="00D7317E">
        <w:rPr>
          <w:rFonts w:asciiTheme="majorBidi" w:hAnsiTheme="majorBidi" w:cstheme="majorBidi"/>
          <w:color w:val="000000" w:themeColor="text1"/>
        </w:rPr>
        <w:t>9,0</w:t>
      </w:r>
      <w:r w:rsidR="00E067D0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="00580123" w:rsidRPr="00490B1D">
        <w:rPr>
          <w:rFonts w:asciiTheme="majorBidi" w:hAnsiTheme="majorBidi" w:cstheme="majorBidi"/>
          <w:color w:val="000000" w:themeColor="text1"/>
        </w:rPr>
        <w:t xml:space="preserve">à une amélioration. </w:t>
      </w:r>
      <w:r w:rsidR="00F15720" w:rsidRPr="00F15720">
        <w:rPr>
          <w:rFonts w:asciiTheme="majorBidi" w:hAnsiTheme="majorBidi" w:cstheme="majorBidi"/>
          <w:color w:val="000000" w:themeColor="text1"/>
        </w:rPr>
        <w:t xml:space="preserve">Le solde d’opinion de cet indicateur est resté ainsi négatif à moins </w:t>
      </w:r>
      <w:r w:rsidR="00563F7F" w:rsidRPr="00D7317E">
        <w:rPr>
          <w:rFonts w:asciiTheme="majorBidi" w:hAnsiTheme="majorBidi" w:cstheme="majorBidi"/>
          <w:color w:val="000000" w:themeColor="text1"/>
        </w:rPr>
        <w:t xml:space="preserve">46,1 </w:t>
      </w:r>
      <w:r w:rsidR="00F15720" w:rsidRPr="00F15720">
        <w:rPr>
          <w:rFonts w:asciiTheme="majorBidi" w:hAnsiTheme="majorBidi" w:cstheme="majorBidi"/>
          <w:color w:val="000000" w:themeColor="text1"/>
        </w:rPr>
        <w:t xml:space="preserve">points contre moins </w:t>
      </w:r>
      <w:r w:rsidR="00563F7F" w:rsidRPr="00D7317E">
        <w:rPr>
          <w:rFonts w:asciiTheme="majorBidi" w:hAnsiTheme="majorBidi" w:cstheme="majorBidi"/>
          <w:color w:val="000000" w:themeColor="text1"/>
        </w:rPr>
        <w:t xml:space="preserve">47,3 </w:t>
      </w:r>
      <w:r w:rsidR="00F15720" w:rsidRPr="00F15720">
        <w:rPr>
          <w:rFonts w:asciiTheme="majorBidi" w:hAnsiTheme="majorBidi" w:cstheme="majorBidi"/>
          <w:color w:val="000000" w:themeColor="text1"/>
        </w:rPr>
        <w:t xml:space="preserve">points un trimestre auparavant et moins </w:t>
      </w:r>
      <w:r w:rsidR="00563F7F" w:rsidRPr="00490B1D">
        <w:rPr>
          <w:rFonts w:asciiTheme="majorBidi" w:hAnsiTheme="majorBidi" w:cstheme="majorBidi"/>
          <w:color w:val="000000" w:themeColor="text1"/>
        </w:rPr>
        <w:t xml:space="preserve">43,7 </w:t>
      </w:r>
      <w:r w:rsidR="00F15720" w:rsidRPr="00F15720">
        <w:rPr>
          <w:rFonts w:asciiTheme="majorBidi" w:hAnsiTheme="majorBidi" w:cstheme="majorBidi"/>
          <w:color w:val="000000" w:themeColor="text1"/>
        </w:rPr>
        <w:t>points un an auparavant.</w:t>
      </w:r>
    </w:p>
    <w:p w:rsidR="00E40BD5" w:rsidRPr="007F6C77" w:rsidRDefault="002830E2" w:rsidP="007F6C77">
      <w:pPr>
        <w:spacing w:before="240"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Graphique 2 : Perception par les ménages de l'évolution passée et future du niveau de vie (soldes d'opinions)</w:t>
      </w:r>
    </w:p>
    <w:p w:rsidR="00E40BD5" w:rsidRDefault="00E40BD5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>
            <wp:extent cx="6663267" cy="3826933"/>
            <wp:effectExtent l="19050" t="0" r="23283" b="2117"/>
            <wp:docPr id="3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830E2" w:rsidRDefault="002830E2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643CB3" w:rsidRPr="00490B1D" w:rsidRDefault="00643CB3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:rsidR="00253610" w:rsidRPr="00D87BB9" w:rsidRDefault="00535F45" w:rsidP="00535F45">
      <w:pPr>
        <w:pStyle w:val="Paragraphedeliste"/>
        <w:numPr>
          <w:ilvl w:val="0"/>
          <w:numId w:val="8"/>
        </w:numPr>
        <w:spacing w:before="24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A</w:t>
      </w:r>
      <w:r w:rsidR="00253610" w:rsidRPr="00D87BB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ttente d’une</w:t>
      </w: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253610" w:rsidRPr="00D87BB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hausse </w:t>
      </w: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modérée </w:t>
      </w:r>
      <w:r w:rsidRPr="00D87BB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du chômage </w:t>
      </w:r>
    </w:p>
    <w:p w:rsidR="00754C54" w:rsidRDefault="00580123" w:rsidP="00643CB3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490B1D">
        <w:rPr>
          <w:rFonts w:asciiTheme="majorBidi" w:hAnsiTheme="majorBidi" w:cstheme="majorBidi"/>
          <w:color w:val="000000" w:themeColor="text1"/>
        </w:rPr>
        <w:t xml:space="preserve">Au </w:t>
      </w:r>
      <w:r w:rsidR="00F04852" w:rsidRPr="00490B1D">
        <w:rPr>
          <w:rFonts w:asciiTheme="majorBidi" w:hAnsiTheme="majorBidi" w:cstheme="majorBidi"/>
          <w:color w:val="000000" w:themeColor="text1"/>
        </w:rPr>
        <w:t>deuxième</w:t>
      </w:r>
      <w:r w:rsidR="00D55501" w:rsidRPr="00490B1D">
        <w:rPr>
          <w:rFonts w:asciiTheme="majorBidi" w:hAnsiTheme="majorBidi" w:cstheme="majorBidi"/>
          <w:color w:val="000000" w:themeColor="text1"/>
        </w:rPr>
        <w:t xml:space="preserve"> trimestre</w:t>
      </w:r>
      <w:r w:rsidR="00643CB3">
        <w:rPr>
          <w:rFonts w:asciiTheme="majorBidi" w:hAnsiTheme="majorBidi" w:cstheme="majorBidi"/>
          <w:color w:val="000000" w:themeColor="text1"/>
        </w:rPr>
        <w:t xml:space="preserve"> </w:t>
      </w:r>
      <w:r w:rsidR="00707360" w:rsidRPr="00490B1D">
        <w:rPr>
          <w:rFonts w:asciiTheme="majorBidi" w:hAnsiTheme="majorBidi" w:cstheme="majorBidi"/>
          <w:color w:val="000000" w:themeColor="text1"/>
        </w:rPr>
        <w:t>de</w:t>
      </w:r>
      <w:r w:rsidR="00643CB3">
        <w:rPr>
          <w:rFonts w:asciiTheme="majorBidi" w:hAnsiTheme="majorBidi" w:cstheme="majorBidi"/>
          <w:color w:val="000000" w:themeColor="text1"/>
        </w:rPr>
        <w:t xml:space="preserve"> </w:t>
      </w:r>
      <w:r w:rsidR="0097329A">
        <w:rPr>
          <w:rFonts w:asciiTheme="majorBidi" w:hAnsiTheme="majorBidi" w:cstheme="majorBidi"/>
          <w:color w:val="000000" w:themeColor="text1"/>
        </w:rPr>
        <w:t>2024</w:t>
      </w:r>
      <w:r w:rsidRPr="00490B1D">
        <w:rPr>
          <w:rFonts w:asciiTheme="majorBidi" w:hAnsiTheme="majorBidi" w:cstheme="majorBidi"/>
          <w:color w:val="000000" w:themeColor="text1"/>
        </w:rPr>
        <w:t>,</w:t>
      </w:r>
      <w:r w:rsidR="00643CB3">
        <w:rPr>
          <w:rFonts w:asciiTheme="majorBidi" w:hAnsiTheme="majorBidi" w:cstheme="majorBidi"/>
          <w:color w:val="000000" w:themeColor="text1"/>
        </w:rPr>
        <w:t xml:space="preserve"> </w:t>
      </w:r>
      <w:r w:rsidR="00B51868" w:rsidRPr="00D7317E">
        <w:rPr>
          <w:rFonts w:asciiTheme="majorBidi" w:hAnsiTheme="majorBidi" w:cstheme="majorBidi"/>
          <w:color w:val="000000" w:themeColor="text1"/>
        </w:rPr>
        <w:t>82,8</w:t>
      </w:r>
      <w:r w:rsidR="00E067D0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="0044099F" w:rsidRPr="00490B1D">
        <w:rPr>
          <w:rFonts w:asciiTheme="majorBidi" w:hAnsiTheme="majorBidi" w:cstheme="majorBidi"/>
          <w:color w:val="000000" w:themeColor="text1"/>
        </w:rPr>
        <w:t xml:space="preserve">contre </w:t>
      </w:r>
      <w:r w:rsidR="00B51868" w:rsidRPr="00D7317E">
        <w:rPr>
          <w:rFonts w:asciiTheme="majorBidi" w:hAnsiTheme="majorBidi" w:cstheme="majorBidi"/>
          <w:color w:val="000000" w:themeColor="text1"/>
        </w:rPr>
        <w:t>6,6</w:t>
      </w:r>
      <w:r w:rsidR="00E067D0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="0044099F" w:rsidRPr="00490B1D">
        <w:rPr>
          <w:rFonts w:asciiTheme="majorBidi" w:hAnsiTheme="majorBidi" w:cstheme="majorBidi"/>
          <w:color w:val="000000" w:themeColor="text1"/>
        </w:rPr>
        <w:t>des ménages s’attendent à une hausse du chômage au cours des 12 prochains mois</w:t>
      </w:r>
      <w:r w:rsidR="00AE721E" w:rsidRPr="00490B1D">
        <w:rPr>
          <w:rFonts w:asciiTheme="majorBidi" w:hAnsiTheme="majorBidi" w:cstheme="majorBidi"/>
          <w:color w:val="000000" w:themeColor="text1"/>
        </w:rPr>
        <w:t xml:space="preserve">. </w:t>
      </w:r>
      <w:bookmarkStart w:id="1" w:name="_GoBack"/>
      <w:r w:rsidR="00754C54" w:rsidRPr="00A94ECC">
        <w:rPr>
          <w:rFonts w:asciiTheme="majorBidi" w:hAnsiTheme="majorBidi" w:cstheme="majorBidi"/>
          <w:color w:val="000000" w:themeColor="text1"/>
        </w:rPr>
        <w:t xml:space="preserve">Le solde d’opinion relatif à cet indicateur s’établit à </w:t>
      </w:r>
      <w:r w:rsidR="00643CB3">
        <w:rPr>
          <w:rFonts w:asciiTheme="majorBidi" w:hAnsiTheme="majorBidi" w:cstheme="majorBidi"/>
          <w:color w:val="000000" w:themeColor="text1"/>
        </w:rPr>
        <w:t xml:space="preserve">moins </w:t>
      </w:r>
      <w:r w:rsidR="00754C54" w:rsidRPr="00A94ECC">
        <w:rPr>
          <w:rFonts w:asciiTheme="majorBidi" w:hAnsiTheme="majorBidi" w:cstheme="majorBidi"/>
          <w:color w:val="000000" w:themeColor="text1"/>
        </w:rPr>
        <w:t xml:space="preserve">76,2 points enregistrant une amélioration aussi bien par rapport au trimestre précédent que par rapport au même trimestre de l’année précédente où il était à </w:t>
      </w:r>
      <w:r w:rsidR="00643CB3">
        <w:rPr>
          <w:rFonts w:asciiTheme="majorBidi" w:hAnsiTheme="majorBidi" w:cstheme="majorBidi"/>
          <w:color w:val="000000" w:themeColor="text1"/>
        </w:rPr>
        <w:t xml:space="preserve">moins </w:t>
      </w:r>
      <w:r w:rsidR="00754C54" w:rsidRPr="00A94ECC">
        <w:rPr>
          <w:rFonts w:asciiTheme="majorBidi" w:hAnsiTheme="majorBidi" w:cstheme="majorBidi"/>
          <w:color w:val="000000" w:themeColor="text1"/>
        </w:rPr>
        <w:t>77,5 point et à moins 80,4 points respectivement.</w:t>
      </w:r>
      <w:bookmarkEnd w:id="1"/>
    </w:p>
    <w:p w:rsidR="00570C0E" w:rsidRPr="00490B1D" w:rsidRDefault="00570C0E" w:rsidP="00570C0E">
      <w:pPr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  <w:rtl/>
        </w:rPr>
      </w:pPr>
    </w:p>
    <w:p w:rsidR="00E40BD5" w:rsidRDefault="002830E2" w:rsidP="00643CB3">
      <w:pPr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Graphique 3 : Perception par les ménages de l'évolution du nombre de chômeurs         (soldes d'opinions)</w:t>
      </w:r>
    </w:p>
    <w:p w:rsidR="00E40BD5" w:rsidRDefault="00E40BD5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>
            <wp:extent cx="6610424" cy="3934047"/>
            <wp:effectExtent l="19050" t="0" r="18976" b="9303"/>
            <wp:docPr id="4" name="Graphique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830E2" w:rsidRPr="00490B1D" w:rsidRDefault="002830E2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CE5F9D" w:rsidRPr="00D87BB9" w:rsidRDefault="00A33336" w:rsidP="00D87BB9">
      <w:pPr>
        <w:pStyle w:val="Paragraphedeliste"/>
        <w:numPr>
          <w:ilvl w:val="0"/>
          <w:numId w:val="8"/>
        </w:numPr>
        <w:spacing w:before="24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87BB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Une c</w:t>
      </w:r>
      <w:r w:rsidR="003541C4" w:rsidRPr="00D87BB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onjoncture </w:t>
      </w:r>
      <w:r w:rsidR="00051A04" w:rsidRPr="00D87BB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perçue comme peu favorable à l’achat des biens durables </w:t>
      </w:r>
    </w:p>
    <w:p w:rsidR="003D0AF3" w:rsidRDefault="00580123" w:rsidP="00D7317E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490B1D">
        <w:rPr>
          <w:rFonts w:asciiTheme="majorBidi" w:hAnsiTheme="majorBidi" w:cstheme="majorBidi"/>
          <w:color w:val="000000" w:themeColor="text1"/>
        </w:rPr>
        <w:t xml:space="preserve">Au </w:t>
      </w:r>
      <w:r w:rsidR="00F04852" w:rsidRPr="00490B1D">
        <w:rPr>
          <w:rFonts w:asciiTheme="majorBidi" w:hAnsiTheme="majorBidi" w:cstheme="majorBidi"/>
          <w:color w:val="000000" w:themeColor="text1"/>
        </w:rPr>
        <w:t>deuxième</w:t>
      </w:r>
      <w:r w:rsidR="00D55501" w:rsidRPr="00490B1D">
        <w:rPr>
          <w:rFonts w:asciiTheme="majorBidi" w:hAnsiTheme="majorBidi" w:cstheme="majorBidi"/>
          <w:color w:val="000000" w:themeColor="text1"/>
        </w:rPr>
        <w:t xml:space="preserve"> trimestre</w:t>
      </w:r>
      <w:r w:rsidR="00643CB3">
        <w:rPr>
          <w:rFonts w:asciiTheme="majorBidi" w:hAnsiTheme="majorBidi" w:cstheme="majorBidi"/>
          <w:color w:val="000000" w:themeColor="text1"/>
        </w:rPr>
        <w:t xml:space="preserve"> </w:t>
      </w:r>
      <w:r w:rsidR="00707360" w:rsidRPr="00490B1D">
        <w:rPr>
          <w:rFonts w:asciiTheme="majorBidi" w:hAnsiTheme="majorBidi" w:cstheme="majorBidi"/>
          <w:color w:val="000000" w:themeColor="text1"/>
        </w:rPr>
        <w:t>de</w:t>
      </w:r>
      <w:r w:rsidR="00643CB3">
        <w:rPr>
          <w:rFonts w:asciiTheme="majorBidi" w:hAnsiTheme="majorBidi" w:cstheme="majorBidi"/>
          <w:color w:val="000000" w:themeColor="text1"/>
        </w:rPr>
        <w:t xml:space="preserve"> </w:t>
      </w:r>
      <w:r w:rsidR="0097329A">
        <w:rPr>
          <w:rFonts w:asciiTheme="majorBidi" w:hAnsiTheme="majorBidi" w:cstheme="majorBidi"/>
          <w:color w:val="000000" w:themeColor="text1"/>
        </w:rPr>
        <w:t>2024</w:t>
      </w:r>
      <w:r w:rsidRPr="00490B1D">
        <w:rPr>
          <w:rFonts w:asciiTheme="majorBidi" w:hAnsiTheme="majorBidi" w:cstheme="majorBidi"/>
          <w:color w:val="000000" w:themeColor="text1"/>
        </w:rPr>
        <w:t xml:space="preserve">, </w:t>
      </w:r>
      <w:r w:rsidR="00B51868" w:rsidRPr="00D7317E">
        <w:rPr>
          <w:rFonts w:asciiTheme="majorBidi" w:hAnsiTheme="majorBidi" w:cstheme="majorBidi"/>
          <w:color w:val="000000" w:themeColor="text1"/>
        </w:rPr>
        <w:t>78,9</w:t>
      </w:r>
      <w:r w:rsidR="00E067D0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Pr="00490B1D">
        <w:rPr>
          <w:rFonts w:asciiTheme="majorBidi" w:hAnsiTheme="majorBidi" w:cstheme="majorBidi"/>
          <w:color w:val="000000" w:themeColor="text1"/>
        </w:rPr>
        <w:t xml:space="preserve">contre </w:t>
      </w:r>
      <w:r w:rsidR="00B51868" w:rsidRPr="00D7317E">
        <w:rPr>
          <w:rFonts w:asciiTheme="majorBidi" w:hAnsiTheme="majorBidi" w:cstheme="majorBidi"/>
          <w:color w:val="000000" w:themeColor="text1"/>
        </w:rPr>
        <w:t>9,5</w:t>
      </w:r>
      <w:r w:rsidR="00E067D0" w:rsidRPr="00490B1D">
        <w:rPr>
          <w:rFonts w:asciiTheme="majorBidi" w:hAnsiTheme="majorBidi" w:cstheme="majorBidi"/>
          <w:color w:val="000000" w:themeColor="text1"/>
        </w:rPr>
        <w:t>%</w:t>
      </w:r>
      <w:r w:rsidRPr="00490B1D">
        <w:rPr>
          <w:rFonts w:asciiTheme="majorBidi" w:hAnsiTheme="majorBidi" w:cstheme="majorBidi"/>
          <w:color w:val="000000" w:themeColor="text1"/>
        </w:rPr>
        <w:t xml:space="preserve"> des ménages considèrent que le moment n’est pas opportun pour effectuer des achats de biens durables. </w:t>
      </w:r>
      <w:r w:rsidR="004C6EE9" w:rsidRPr="00490B1D">
        <w:rPr>
          <w:rFonts w:asciiTheme="majorBidi" w:hAnsiTheme="majorBidi" w:cstheme="majorBidi"/>
          <w:color w:val="000000" w:themeColor="text1"/>
        </w:rPr>
        <w:t xml:space="preserve">Le solde d’opinion de cet indicateur est resté ainsi négatif à moins </w:t>
      </w:r>
      <w:r w:rsidR="00AF4A68" w:rsidRPr="00D7317E">
        <w:rPr>
          <w:rFonts w:asciiTheme="majorBidi" w:hAnsiTheme="majorBidi" w:cstheme="majorBidi"/>
          <w:color w:val="000000" w:themeColor="text1"/>
        </w:rPr>
        <w:t>69,4</w:t>
      </w:r>
      <w:r w:rsidR="00643CB3">
        <w:rPr>
          <w:rFonts w:asciiTheme="majorBidi" w:hAnsiTheme="majorBidi" w:cstheme="majorBidi"/>
          <w:color w:val="000000" w:themeColor="text1"/>
        </w:rPr>
        <w:t xml:space="preserve"> </w:t>
      </w:r>
      <w:r w:rsidR="004C6EE9" w:rsidRPr="00490B1D">
        <w:rPr>
          <w:rFonts w:asciiTheme="majorBidi" w:hAnsiTheme="majorBidi" w:cstheme="majorBidi"/>
          <w:color w:val="000000" w:themeColor="text1"/>
        </w:rPr>
        <w:t xml:space="preserve">points contre moins </w:t>
      </w:r>
      <w:r w:rsidR="00AF4A68" w:rsidRPr="00D7317E">
        <w:rPr>
          <w:rFonts w:asciiTheme="majorBidi" w:hAnsiTheme="majorBidi" w:cstheme="majorBidi"/>
          <w:color w:val="000000" w:themeColor="text1"/>
        </w:rPr>
        <w:t xml:space="preserve">72,9 </w:t>
      </w:r>
      <w:r w:rsidR="004C6EE9" w:rsidRPr="00490B1D">
        <w:rPr>
          <w:rFonts w:asciiTheme="majorBidi" w:hAnsiTheme="majorBidi" w:cstheme="majorBidi"/>
          <w:color w:val="000000" w:themeColor="text1"/>
        </w:rPr>
        <w:t xml:space="preserve">points un trimestre auparavant et moins </w:t>
      </w:r>
      <w:r w:rsidR="00AF4A68" w:rsidRPr="00490B1D">
        <w:rPr>
          <w:rFonts w:asciiTheme="majorBidi" w:hAnsiTheme="majorBidi" w:cstheme="majorBidi"/>
          <w:color w:val="000000" w:themeColor="text1"/>
        </w:rPr>
        <w:t xml:space="preserve">68,9 </w:t>
      </w:r>
      <w:r w:rsidR="004C6EE9" w:rsidRPr="00490B1D">
        <w:rPr>
          <w:rFonts w:asciiTheme="majorBidi" w:hAnsiTheme="majorBidi" w:cstheme="majorBidi"/>
          <w:color w:val="000000" w:themeColor="text1"/>
        </w:rPr>
        <w:t>points un an auparavant.</w:t>
      </w:r>
    </w:p>
    <w:p w:rsidR="00570C0E" w:rsidRDefault="00570C0E" w:rsidP="00570C0E">
      <w:pPr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643CB3" w:rsidRDefault="00643CB3" w:rsidP="00570C0E">
      <w:pPr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643CB3" w:rsidRDefault="00643CB3" w:rsidP="00570C0E">
      <w:pPr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643CB3" w:rsidRDefault="00643CB3" w:rsidP="00570C0E">
      <w:pPr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E40BD5" w:rsidRDefault="002830E2" w:rsidP="00231324">
      <w:pPr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lastRenderedPageBreak/>
        <w:t xml:space="preserve">Graphique 4 : </w:t>
      </w:r>
      <w:r w:rsidR="00231324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O</w:t>
      </w:r>
      <w:r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pportunité d'achat des biens durables</w:t>
      </w:r>
      <w:r w:rsidR="00231324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 selon les ménages </w:t>
      </w:r>
      <w:r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(soldes d'opinions)</w:t>
      </w:r>
    </w:p>
    <w:p w:rsidR="00E40BD5" w:rsidRDefault="00E40BD5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>
            <wp:extent cx="6645168" cy="3348842"/>
            <wp:effectExtent l="19050" t="0" r="22332" b="3958"/>
            <wp:docPr id="5" name="Graphique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830E2" w:rsidRPr="00490B1D" w:rsidRDefault="002830E2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253610" w:rsidRPr="00D87BB9" w:rsidRDefault="00253610" w:rsidP="00D22361">
      <w:pPr>
        <w:pStyle w:val="Paragraphedeliste"/>
        <w:numPr>
          <w:ilvl w:val="0"/>
          <w:numId w:val="8"/>
        </w:numPr>
        <w:tabs>
          <w:tab w:val="left" w:pos="709"/>
        </w:tabs>
        <w:spacing w:before="240"/>
        <w:jc w:val="both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 w:rsidRPr="00D87BB9">
        <w:rPr>
          <w:rFonts w:asciiTheme="majorBidi" w:hAnsiTheme="majorBidi" w:cstheme="majorBidi"/>
          <w:b/>
          <w:bCs/>
          <w:color w:val="000000"/>
          <w:sz w:val="26"/>
          <w:szCs w:val="26"/>
        </w:rPr>
        <w:t>Situation financière</w:t>
      </w:r>
      <w:r w:rsidR="00D22361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: </w:t>
      </w:r>
      <w:r w:rsidR="003E42B6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les </w:t>
      </w:r>
      <w:r w:rsidR="00D22361">
        <w:rPr>
          <w:rFonts w:asciiTheme="majorBidi" w:hAnsiTheme="majorBidi" w:cstheme="majorBidi"/>
          <w:b/>
          <w:bCs/>
          <w:color w:val="000000"/>
          <w:sz w:val="26"/>
          <w:szCs w:val="26"/>
        </w:rPr>
        <w:t>m</w:t>
      </w:r>
      <w:r w:rsidRPr="00D87BB9">
        <w:rPr>
          <w:rFonts w:asciiTheme="majorBidi" w:hAnsiTheme="majorBidi" w:cstheme="majorBidi"/>
          <w:b/>
          <w:bCs/>
          <w:color w:val="000000"/>
          <w:sz w:val="26"/>
          <w:szCs w:val="26"/>
        </w:rPr>
        <w:t>énages</w:t>
      </w:r>
      <w:r w:rsidR="00D22361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 </w:t>
      </w:r>
      <w:r w:rsidRPr="00D87BB9">
        <w:rPr>
          <w:rFonts w:asciiTheme="majorBidi" w:hAnsiTheme="majorBidi" w:cstheme="majorBidi"/>
          <w:b/>
          <w:bCs/>
          <w:color w:val="000000"/>
          <w:sz w:val="26"/>
          <w:szCs w:val="26"/>
        </w:rPr>
        <w:t>moins pessimistes</w:t>
      </w:r>
    </w:p>
    <w:p w:rsidR="00643CB3" w:rsidRDefault="00516548" w:rsidP="00643CB3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490B1D">
        <w:rPr>
          <w:rFonts w:asciiTheme="majorBidi" w:hAnsiTheme="majorBidi" w:cstheme="majorBidi"/>
          <w:color w:val="000000" w:themeColor="text1"/>
        </w:rPr>
        <w:t xml:space="preserve">Au </w:t>
      </w:r>
      <w:r w:rsidR="00F04852" w:rsidRPr="00490B1D">
        <w:rPr>
          <w:rFonts w:asciiTheme="majorBidi" w:hAnsiTheme="majorBidi" w:cstheme="majorBidi"/>
          <w:color w:val="000000" w:themeColor="text1"/>
        </w:rPr>
        <w:t>deuxième</w:t>
      </w:r>
      <w:r w:rsidR="00D55501" w:rsidRPr="00490B1D">
        <w:rPr>
          <w:rFonts w:asciiTheme="majorBidi" w:hAnsiTheme="majorBidi" w:cstheme="majorBidi"/>
          <w:color w:val="000000" w:themeColor="text1"/>
        </w:rPr>
        <w:t xml:space="preserve"> trimestre</w:t>
      </w:r>
      <w:r w:rsidR="00643CB3">
        <w:rPr>
          <w:rFonts w:asciiTheme="majorBidi" w:hAnsiTheme="majorBidi" w:cstheme="majorBidi"/>
          <w:color w:val="000000" w:themeColor="text1"/>
        </w:rPr>
        <w:t xml:space="preserve"> </w:t>
      </w:r>
      <w:r w:rsidR="00707360" w:rsidRPr="00490B1D">
        <w:rPr>
          <w:rFonts w:asciiTheme="majorBidi" w:hAnsiTheme="majorBidi" w:cstheme="majorBidi"/>
          <w:color w:val="000000" w:themeColor="text1"/>
        </w:rPr>
        <w:t>de</w:t>
      </w:r>
      <w:r w:rsidR="00643CB3">
        <w:rPr>
          <w:rFonts w:asciiTheme="majorBidi" w:hAnsiTheme="majorBidi" w:cstheme="majorBidi"/>
          <w:color w:val="000000" w:themeColor="text1"/>
        </w:rPr>
        <w:t xml:space="preserve"> </w:t>
      </w:r>
      <w:r w:rsidR="0097329A">
        <w:rPr>
          <w:rFonts w:asciiTheme="majorBidi" w:hAnsiTheme="majorBidi" w:cstheme="majorBidi"/>
          <w:color w:val="000000" w:themeColor="text1"/>
        </w:rPr>
        <w:t>2024</w:t>
      </w:r>
      <w:r w:rsidR="00E03B67" w:rsidRPr="00490B1D">
        <w:rPr>
          <w:rFonts w:asciiTheme="majorBidi" w:hAnsiTheme="majorBidi" w:cstheme="majorBidi"/>
          <w:color w:val="000000" w:themeColor="text1"/>
        </w:rPr>
        <w:t xml:space="preserve">, </w:t>
      </w:r>
      <w:r w:rsidR="00B51868" w:rsidRPr="00D7317E">
        <w:rPr>
          <w:rFonts w:asciiTheme="majorBidi" w:hAnsiTheme="majorBidi" w:cstheme="majorBidi"/>
          <w:color w:val="000000" w:themeColor="text1"/>
        </w:rPr>
        <w:t>55,</w:t>
      </w:r>
      <w:r w:rsidR="00643CB3">
        <w:rPr>
          <w:rFonts w:asciiTheme="majorBidi" w:hAnsiTheme="majorBidi" w:cstheme="majorBidi"/>
          <w:color w:val="000000" w:themeColor="text1"/>
        </w:rPr>
        <w:t>8</w:t>
      </w:r>
      <w:r w:rsidR="00DC0DC8" w:rsidRPr="00490B1D">
        <w:rPr>
          <w:rFonts w:asciiTheme="majorBidi" w:hAnsiTheme="majorBidi" w:cstheme="majorBidi"/>
          <w:color w:val="000000" w:themeColor="text1"/>
        </w:rPr>
        <w:t>%</w:t>
      </w:r>
      <w:r w:rsidR="00643CB3">
        <w:rPr>
          <w:rFonts w:asciiTheme="majorBidi" w:hAnsiTheme="majorBidi" w:cstheme="majorBidi"/>
          <w:color w:val="000000" w:themeColor="text1"/>
        </w:rPr>
        <w:t xml:space="preserve"> </w:t>
      </w:r>
      <w:r w:rsidR="00E03B67" w:rsidRPr="00490B1D">
        <w:rPr>
          <w:rFonts w:asciiTheme="majorBidi" w:hAnsiTheme="majorBidi" w:cstheme="majorBidi"/>
          <w:color w:val="000000" w:themeColor="text1"/>
        </w:rPr>
        <w:t>des ménages</w:t>
      </w:r>
      <w:r w:rsidR="00643CB3">
        <w:rPr>
          <w:rFonts w:asciiTheme="majorBidi" w:hAnsiTheme="majorBidi" w:cstheme="majorBidi"/>
          <w:color w:val="000000" w:themeColor="text1"/>
        </w:rPr>
        <w:t xml:space="preserve"> </w:t>
      </w:r>
      <w:r w:rsidR="00E03B67" w:rsidRPr="00490B1D">
        <w:rPr>
          <w:rFonts w:asciiTheme="majorBidi" w:hAnsiTheme="majorBidi" w:cstheme="majorBidi"/>
          <w:color w:val="000000" w:themeColor="text1"/>
        </w:rPr>
        <w:t xml:space="preserve">estiment que leurs revenus couvrent leurs dépenses, </w:t>
      </w:r>
      <w:r w:rsidR="00B51868" w:rsidRPr="00D7317E">
        <w:rPr>
          <w:rFonts w:asciiTheme="majorBidi" w:hAnsiTheme="majorBidi" w:cstheme="majorBidi"/>
          <w:color w:val="000000" w:themeColor="text1"/>
        </w:rPr>
        <w:t>42,1</w:t>
      </w:r>
      <w:r w:rsidR="00DC0DC8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="00E03B67" w:rsidRPr="00490B1D">
        <w:rPr>
          <w:rFonts w:asciiTheme="majorBidi" w:hAnsiTheme="majorBidi" w:cstheme="majorBidi"/>
          <w:color w:val="000000" w:themeColor="text1"/>
        </w:rPr>
        <w:t xml:space="preserve">déclarent s’endetter ou puiser dans leur épargne et </w:t>
      </w:r>
      <w:r w:rsidR="00CC4120" w:rsidRPr="00D7317E">
        <w:rPr>
          <w:rFonts w:asciiTheme="majorBidi" w:hAnsiTheme="majorBidi" w:cstheme="majorBidi"/>
          <w:color w:val="000000" w:themeColor="text1"/>
        </w:rPr>
        <w:t>2,</w:t>
      </w:r>
      <w:r w:rsidR="00EB5A06" w:rsidRPr="00D7317E">
        <w:rPr>
          <w:rFonts w:asciiTheme="majorBidi" w:hAnsiTheme="majorBidi" w:cstheme="majorBidi"/>
          <w:color w:val="000000" w:themeColor="text1"/>
        </w:rPr>
        <w:t>1</w:t>
      </w:r>
      <w:r w:rsidR="00DC0DC8" w:rsidRPr="00D7317E">
        <w:rPr>
          <w:rFonts w:asciiTheme="majorBidi" w:hAnsiTheme="majorBidi" w:cstheme="majorBidi"/>
          <w:color w:val="000000" w:themeColor="text1"/>
        </w:rPr>
        <w:t>%</w:t>
      </w:r>
      <w:r w:rsidR="00182A70">
        <w:rPr>
          <w:rFonts w:asciiTheme="majorBidi" w:hAnsiTheme="majorBidi" w:cstheme="majorBidi"/>
          <w:color w:val="000000" w:themeColor="text1"/>
        </w:rPr>
        <w:t xml:space="preserve"> </w:t>
      </w:r>
      <w:r w:rsidR="00E03B67" w:rsidRPr="00490B1D">
        <w:rPr>
          <w:rFonts w:asciiTheme="majorBidi" w:hAnsiTheme="majorBidi" w:cstheme="majorBidi"/>
          <w:color w:val="000000" w:themeColor="text1"/>
        </w:rPr>
        <w:t>affirment épargner une partie de leur revenu.</w:t>
      </w:r>
      <w:r w:rsidR="00182A70">
        <w:rPr>
          <w:rFonts w:asciiTheme="majorBidi" w:hAnsiTheme="majorBidi" w:cstheme="majorBidi"/>
          <w:color w:val="000000" w:themeColor="text1"/>
        </w:rPr>
        <w:t xml:space="preserve"> </w:t>
      </w:r>
      <w:r w:rsidR="00E03B67" w:rsidRPr="00490B1D">
        <w:rPr>
          <w:rFonts w:asciiTheme="majorBidi" w:hAnsiTheme="majorBidi" w:cstheme="majorBidi"/>
          <w:color w:val="000000" w:themeColor="text1"/>
        </w:rPr>
        <w:t xml:space="preserve">Le solde d’opinion </w:t>
      </w:r>
      <w:r w:rsidR="007A29D4" w:rsidRPr="00490B1D">
        <w:rPr>
          <w:rFonts w:asciiTheme="majorBidi" w:hAnsiTheme="majorBidi" w:cstheme="majorBidi"/>
          <w:color w:val="000000" w:themeColor="text1"/>
        </w:rPr>
        <w:t>relatif à</w:t>
      </w:r>
      <w:r w:rsidR="00E03B67" w:rsidRPr="00490B1D">
        <w:rPr>
          <w:rFonts w:asciiTheme="majorBidi" w:hAnsiTheme="majorBidi" w:cstheme="majorBidi"/>
          <w:color w:val="000000" w:themeColor="text1"/>
        </w:rPr>
        <w:t xml:space="preserve"> la situation financière actuelle des ménages </w:t>
      </w:r>
      <w:r w:rsidR="00754C54" w:rsidRPr="00A94ECC">
        <w:rPr>
          <w:rFonts w:asciiTheme="majorBidi" w:hAnsiTheme="majorBidi" w:cstheme="majorBidi"/>
          <w:color w:val="000000" w:themeColor="text1"/>
        </w:rPr>
        <w:t xml:space="preserve">s’établit à </w:t>
      </w:r>
      <w:r w:rsidR="00182A70">
        <w:rPr>
          <w:rFonts w:asciiTheme="majorBidi" w:hAnsiTheme="majorBidi" w:cstheme="majorBidi"/>
          <w:color w:val="000000" w:themeColor="text1"/>
        </w:rPr>
        <w:t xml:space="preserve">moins </w:t>
      </w:r>
      <w:r w:rsidR="00754C54" w:rsidRPr="00D7317E">
        <w:rPr>
          <w:rFonts w:asciiTheme="majorBidi" w:hAnsiTheme="majorBidi" w:cstheme="majorBidi"/>
          <w:color w:val="000000" w:themeColor="text1"/>
        </w:rPr>
        <w:t xml:space="preserve">40,0 </w:t>
      </w:r>
      <w:r w:rsidR="00754C54" w:rsidRPr="00A94ECC">
        <w:rPr>
          <w:rFonts w:asciiTheme="majorBidi" w:hAnsiTheme="majorBidi" w:cstheme="majorBidi"/>
          <w:color w:val="000000" w:themeColor="text1"/>
        </w:rPr>
        <w:t xml:space="preserve">points enregistrant ainsi une amélioration aussi bien par rapport au trimestre précédent que par rapport au même trimestre de l’année précédente où il était à </w:t>
      </w:r>
      <w:r w:rsidR="00182A70">
        <w:rPr>
          <w:rFonts w:asciiTheme="majorBidi" w:hAnsiTheme="majorBidi" w:cstheme="majorBidi"/>
          <w:color w:val="000000" w:themeColor="text1"/>
        </w:rPr>
        <w:t xml:space="preserve">moins </w:t>
      </w:r>
      <w:r w:rsidR="00754C54" w:rsidRPr="00D7317E">
        <w:rPr>
          <w:rFonts w:asciiTheme="majorBidi" w:hAnsiTheme="majorBidi" w:cstheme="majorBidi"/>
          <w:color w:val="000000" w:themeColor="text1"/>
        </w:rPr>
        <w:t xml:space="preserve">40,6 </w:t>
      </w:r>
      <w:r w:rsidR="00754C54" w:rsidRPr="00A94ECC">
        <w:rPr>
          <w:rFonts w:asciiTheme="majorBidi" w:hAnsiTheme="majorBidi" w:cstheme="majorBidi"/>
          <w:color w:val="000000" w:themeColor="text1"/>
        </w:rPr>
        <w:t>point</w:t>
      </w:r>
      <w:r w:rsidR="00182A70">
        <w:rPr>
          <w:rFonts w:asciiTheme="majorBidi" w:hAnsiTheme="majorBidi" w:cstheme="majorBidi"/>
          <w:color w:val="000000" w:themeColor="text1"/>
        </w:rPr>
        <w:t>s</w:t>
      </w:r>
      <w:r w:rsidR="00754C54" w:rsidRPr="00A94ECC">
        <w:rPr>
          <w:rFonts w:asciiTheme="majorBidi" w:hAnsiTheme="majorBidi" w:cstheme="majorBidi"/>
          <w:color w:val="000000" w:themeColor="text1"/>
        </w:rPr>
        <w:t xml:space="preserve"> et à moins </w:t>
      </w:r>
      <w:r w:rsidR="00754C54" w:rsidRPr="00D7317E">
        <w:rPr>
          <w:rFonts w:asciiTheme="majorBidi" w:hAnsiTheme="majorBidi" w:cstheme="majorBidi"/>
          <w:color w:val="000000" w:themeColor="text1"/>
        </w:rPr>
        <w:t xml:space="preserve">41,4 </w:t>
      </w:r>
      <w:r w:rsidR="00754C54" w:rsidRPr="00A94ECC">
        <w:rPr>
          <w:rFonts w:asciiTheme="majorBidi" w:hAnsiTheme="majorBidi" w:cstheme="majorBidi"/>
          <w:color w:val="000000" w:themeColor="text1"/>
        </w:rPr>
        <w:t>points respectivement.</w:t>
      </w:r>
    </w:p>
    <w:p w:rsidR="00643CB3" w:rsidRPr="00490B1D" w:rsidRDefault="00643CB3" w:rsidP="00643CB3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182A70" w:rsidRDefault="00035053" w:rsidP="00943247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  <w:rtl/>
        </w:rPr>
      </w:pPr>
      <w:r w:rsidRPr="00490B1D">
        <w:rPr>
          <w:rFonts w:asciiTheme="majorBidi" w:hAnsiTheme="majorBidi" w:cstheme="majorBidi"/>
          <w:color w:val="000000" w:themeColor="text1"/>
        </w:rPr>
        <w:t>Quant à</w:t>
      </w:r>
      <w:r w:rsidR="002B7C12" w:rsidRPr="00490B1D">
        <w:rPr>
          <w:rFonts w:asciiTheme="majorBidi" w:hAnsiTheme="majorBidi" w:cstheme="majorBidi"/>
          <w:color w:val="000000" w:themeColor="text1"/>
        </w:rPr>
        <w:t xml:space="preserve"> l’évolution de</w:t>
      </w:r>
      <w:r w:rsidR="00F45C72" w:rsidRPr="00490B1D">
        <w:rPr>
          <w:rFonts w:asciiTheme="majorBidi" w:hAnsiTheme="majorBidi" w:cstheme="majorBidi"/>
          <w:color w:val="000000" w:themeColor="text1"/>
        </w:rPr>
        <w:t xml:space="preserve"> leur </w:t>
      </w:r>
      <w:r w:rsidR="0016780D" w:rsidRPr="00490B1D">
        <w:rPr>
          <w:rFonts w:asciiTheme="majorBidi" w:hAnsiTheme="majorBidi" w:cstheme="majorBidi"/>
          <w:color w:val="000000" w:themeColor="text1"/>
        </w:rPr>
        <w:t>situation financière</w:t>
      </w:r>
      <w:r w:rsidR="00F45C72" w:rsidRPr="00490B1D">
        <w:rPr>
          <w:rFonts w:asciiTheme="majorBidi" w:hAnsiTheme="majorBidi" w:cstheme="majorBidi"/>
          <w:color w:val="000000" w:themeColor="text1"/>
        </w:rPr>
        <w:t xml:space="preserve"> au cours des 12 derniers mois</w:t>
      </w:r>
      <w:r w:rsidR="0016780D" w:rsidRPr="00490B1D">
        <w:rPr>
          <w:rFonts w:asciiTheme="majorBidi" w:hAnsiTheme="majorBidi" w:cstheme="majorBidi"/>
          <w:color w:val="000000" w:themeColor="text1"/>
        </w:rPr>
        <w:t xml:space="preserve">, </w:t>
      </w:r>
      <w:r w:rsidR="00B51868" w:rsidRPr="00D7317E">
        <w:rPr>
          <w:rFonts w:asciiTheme="majorBidi" w:hAnsiTheme="majorBidi" w:cstheme="majorBidi"/>
          <w:color w:val="000000" w:themeColor="text1"/>
        </w:rPr>
        <w:t>56,</w:t>
      </w:r>
      <w:r w:rsidR="00D65C0B" w:rsidRPr="00D7317E">
        <w:rPr>
          <w:rFonts w:asciiTheme="majorBidi" w:hAnsiTheme="majorBidi" w:cstheme="majorBidi"/>
          <w:color w:val="000000" w:themeColor="text1"/>
        </w:rPr>
        <w:t>5</w:t>
      </w:r>
      <w:r w:rsidR="00D61D3A" w:rsidRPr="00490B1D">
        <w:rPr>
          <w:rFonts w:asciiTheme="majorBidi" w:hAnsiTheme="majorBidi" w:cstheme="majorBidi"/>
          <w:color w:val="000000" w:themeColor="text1"/>
        </w:rPr>
        <w:t>%</w:t>
      </w:r>
      <w:r w:rsidR="005D3956" w:rsidRPr="00490B1D">
        <w:rPr>
          <w:rFonts w:asciiTheme="majorBidi" w:hAnsiTheme="majorBidi" w:cstheme="majorBidi"/>
          <w:color w:val="000000" w:themeColor="text1"/>
        </w:rPr>
        <w:t xml:space="preserve"> contre </w:t>
      </w:r>
      <w:r w:rsidR="00B51868" w:rsidRPr="00D7317E">
        <w:rPr>
          <w:rFonts w:asciiTheme="majorBidi" w:hAnsiTheme="majorBidi" w:cstheme="majorBidi"/>
          <w:color w:val="000000" w:themeColor="text1"/>
        </w:rPr>
        <w:t>3,3</w:t>
      </w:r>
      <w:r w:rsidR="00D61D3A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="0016780D" w:rsidRPr="00490B1D">
        <w:rPr>
          <w:rFonts w:asciiTheme="majorBidi" w:hAnsiTheme="majorBidi" w:cstheme="majorBidi"/>
          <w:color w:val="000000" w:themeColor="text1"/>
        </w:rPr>
        <w:t xml:space="preserve">des ménages considèrent qu’elle </w:t>
      </w:r>
      <w:r w:rsidR="00540BE7" w:rsidRPr="00490B1D">
        <w:rPr>
          <w:rFonts w:asciiTheme="majorBidi" w:hAnsiTheme="majorBidi" w:cstheme="majorBidi"/>
          <w:color w:val="000000" w:themeColor="text1"/>
        </w:rPr>
        <w:t>s’est dégradée</w:t>
      </w:r>
      <w:r w:rsidR="00BE624F" w:rsidRPr="00490B1D">
        <w:rPr>
          <w:rFonts w:asciiTheme="majorBidi" w:hAnsiTheme="majorBidi" w:cstheme="majorBidi"/>
          <w:color w:val="000000" w:themeColor="text1"/>
        </w:rPr>
        <w:t xml:space="preserve">. </w:t>
      </w:r>
      <w:r w:rsidR="00F7332B" w:rsidRPr="00490B1D">
        <w:rPr>
          <w:rFonts w:asciiTheme="majorBidi" w:hAnsiTheme="majorBidi" w:cstheme="majorBidi"/>
          <w:color w:val="000000" w:themeColor="text1"/>
        </w:rPr>
        <w:t xml:space="preserve">Le solde d’opinion de cet indicateur </w:t>
      </w:r>
      <w:r w:rsidR="00AA6F71" w:rsidRPr="00490B1D">
        <w:rPr>
          <w:rFonts w:asciiTheme="majorBidi" w:hAnsiTheme="majorBidi" w:cstheme="majorBidi"/>
          <w:color w:val="000000" w:themeColor="text1"/>
        </w:rPr>
        <w:t>est resté ainsi négatif, à</w:t>
      </w:r>
      <w:r w:rsidR="00F7332B" w:rsidRPr="00490B1D">
        <w:rPr>
          <w:rFonts w:asciiTheme="majorBidi" w:hAnsiTheme="majorBidi" w:cstheme="majorBidi"/>
          <w:color w:val="000000" w:themeColor="text1"/>
        </w:rPr>
        <w:t xml:space="preserve"> moins </w:t>
      </w:r>
      <w:r w:rsidR="003763AE" w:rsidRPr="00D7317E">
        <w:rPr>
          <w:rFonts w:asciiTheme="majorBidi" w:hAnsiTheme="majorBidi" w:cstheme="majorBidi"/>
          <w:color w:val="000000" w:themeColor="text1"/>
        </w:rPr>
        <w:t>53,2</w:t>
      </w:r>
      <w:r w:rsidR="00182A70">
        <w:rPr>
          <w:rFonts w:asciiTheme="majorBidi" w:hAnsiTheme="majorBidi" w:cstheme="majorBidi"/>
          <w:color w:val="000000" w:themeColor="text1"/>
        </w:rPr>
        <w:t xml:space="preserve"> </w:t>
      </w:r>
      <w:r w:rsidR="0005569E" w:rsidRPr="00490B1D">
        <w:rPr>
          <w:rFonts w:asciiTheme="majorBidi" w:hAnsiTheme="majorBidi" w:cstheme="majorBidi"/>
          <w:color w:val="000000" w:themeColor="text1"/>
        </w:rPr>
        <w:t>points</w:t>
      </w:r>
      <w:r w:rsidR="00AA6F71" w:rsidRPr="00490B1D">
        <w:rPr>
          <w:rFonts w:asciiTheme="majorBidi" w:hAnsiTheme="majorBidi" w:cstheme="majorBidi"/>
          <w:color w:val="000000" w:themeColor="text1"/>
        </w:rPr>
        <w:t xml:space="preserve"> contre </w:t>
      </w:r>
      <w:r w:rsidR="00F7332B" w:rsidRPr="00490B1D">
        <w:rPr>
          <w:rFonts w:asciiTheme="majorBidi" w:hAnsiTheme="majorBidi" w:cstheme="majorBidi"/>
          <w:color w:val="000000" w:themeColor="text1"/>
        </w:rPr>
        <w:t xml:space="preserve">moins </w:t>
      </w:r>
      <w:r w:rsidR="003763AE" w:rsidRPr="003763AE">
        <w:rPr>
          <w:rFonts w:asciiTheme="majorBidi" w:hAnsiTheme="majorBidi" w:cstheme="majorBidi"/>
          <w:color w:val="000000" w:themeColor="text1"/>
        </w:rPr>
        <w:t>52,7</w:t>
      </w:r>
      <w:r w:rsidR="00182A70">
        <w:rPr>
          <w:rFonts w:asciiTheme="majorBidi" w:hAnsiTheme="majorBidi" w:cstheme="majorBidi"/>
          <w:color w:val="000000" w:themeColor="text1"/>
        </w:rPr>
        <w:t xml:space="preserve"> </w:t>
      </w:r>
      <w:r w:rsidR="00F7332B" w:rsidRPr="00490B1D">
        <w:rPr>
          <w:rFonts w:asciiTheme="majorBidi" w:hAnsiTheme="majorBidi" w:cstheme="majorBidi"/>
          <w:color w:val="000000" w:themeColor="text1"/>
        </w:rPr>
        <w:t xml:space="preserve">points le trimestre précédent et moins </w:t>
      </w:r>
      <w:r w:rsidR="003763AE" w:rsidRPr="003763AE">
        <w:rPr>
          <w:rFonts w:asciiTheme="majorBidi" w:hAnsiTheme="majorBidi" w:cstheme="majorBidi"/>
          <w:color w:val="000000" w:themeColor="text1"/>
        </w:rPr>
        <w:t xml:space="preserve">57,3 </w:t>
      </w:r>
      <w:r w:rsidR="00F7332B" w:rsidRPr="00490B1D">
        <w:rPr>
          <w:rFonts w:asciiTheme="majorBidi" w:hAnsiTheme="majorBidi" w:cstheme="majorBidi"/>
          <w:color w:val="000000" w:themeColor="text1"/>
        </w:rPr>
        <w:t>points une année auparavant</w:t>
      </w:r>
      <w:r w:rsidR="00203316" w:rsidRPr="00490B1D">
        <w:rPr>
          <w:rFonts w:asciiTheme="majorBidi" w:hAnsiTheme="majorBidi" w:cstheme="majorBidi"/>
          <w:color w:val="000000" w:themeColor="text1"/>
        </w:rPr>
        <w:t>.</w:t>
      </w:r>
    </w:p>
    <w:p w:rsidR="00943247" w:rsidRDefault="00943247" w:rsidP="00943247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754C54" w:rsidRPr="00A94ECC" w:rsidRDefault="00491FB6" w:rsidP="00182A70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490B1D">
        <w:rPr>
          <w:rFonts w:asciiTheme="majorBidi" w:hAnsiTheme="majorBidi" w:cstheme="majorBidi"/>
          <w:color w:val="000000" w:themeColor="text1"/>
        </w:rPr>
        <w:t xml:space="preserve">S’agissant </w:t>
      </w:r>
      <w:r w:rsidR="00B56764" w:rsidRPr="00490B1D">
        <w:rPr>
          <w:rFonts w:asciiTheme="majorBidi" w:hAnsiTheme="majorBidi" w:cstheme="majorBidi"/>
          <w:color w:val="000000" w:themeColor="text1"/>
        </w:rPr>
        <w:t xml:space="preserve">de l’évolution </w:t>
      </w:r>
      <w:r w:rsidR="00D41CA0" w:rsidRPr="00490B1D">
        <w:rPr>
          <w:rFonts w:asciiTheme="majorBidi" w:hAnsiTheme="majorBidi" w:cstheme="majorBidi"/>
          <w:color w:val="000000" w:themeColor="text1"/>
        </w:rPr>
        <w:t>de leur situation financière</w:t>
      </w:r>
      <w:r w:rsidR="00D26C8A">
        <w:rPr>
          <w:rFonts w:asciiTheme="majorBidi" w:hAnsiTheme="majorBidi" w:cstheme="majorBidi"/>
          <w:color w:val="000000" w:themeColor="text1"/>
        </w:rPr>
        <w:t xml:space="preserve"> </w:t>
      </w:r>
      <w:r w:rsidR="00B56764" w:rsidRPr="00490B1D">
        <w:rPr>
          <w:rFonts w:asciiTheme="majorBidi" w:hAnsiTheme="majorBidi" w:cstheme="majorBidi"/>
          <w:color w:val="000000" w:themeColor="text1"/>
        </w:rPr>
        <w:t>au cours des 12 prochains mois,</w:t>
      </w:r>
      <w:r w:rsidR="00182A70">
        <w:rPr>
          <w:rFonts w:asciiTheme="majorBidi" w:hAnsiTheme="majorBidi" w:cstheme="majorBidi"/>
          <w:color w:val="000000" w:themeColor="text1"/>
        </w:rPr>
        <w:t xml:space="preserve"> </w:t>
      </w:r>
      <w:r w:rsidR="00B51868" w:rsidRPr="00D7317E">
        <w:rPr>
          <w:rFonts w:asciiTheme="majorBidi" w:hAnsiTheme="majorBidi" w:cstheme="majorBidi"/>
          <w:color w:val="000000" w:themeColor="text1"/>
        </w:rPr>
        <w:t>16,7</w:t>
      </w:r>
      <w:r w:rsidR="00D61D3A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="00A5145B" w:rsidRPr="00490B1D">
        <w:rPr>
          <w:rFonts w:asciiTheme="majorBidi" w:hAnsiTheme="majorBidi" w:cstheme="majorBidi"/>
          <w:color w:val="000000" w:themeColor="text1"/>
        </w:rPr>
        <w:t xml:space="preserve">des ménages s’attendent à une amélioration de leur situation financière, </w:t>
      </w:r>
      <w:r w:rsidR="00B51868" w:rsidRPr="00D7317E">
        <w:rPr>
          <w:rFonts w:asciiTheme="majorBidi" w:hAnsiTheme="majorBidi" w:cstheme="majorBidi"/>
          <w:color w:val="000000" w:themeColor="text1"/>
        </w:rPr>
        <w:t>52,</w:t>
      </w:r>
      <w:r w:rsidR="00D65C0B" w:rsidRPr="00D7317E">
        <w:rPr>
          <w:rFonts w:asciiTheme="majorBidi" w:hAnsiTheme="majorBidi" w:cstheme="majorBidi"/>
          <w:color w:val="000000" w:themeColor="text1"/>
        </w:rPr>
        <w:t>7</w:t>
      </w:r>
      <w:r w:rsidR="00A5145B" w:rsidRPr="00490B1D">
        <w:rPr>
          <w:rFonts w:asciiTheme="majorBidi" w:hAnsiTheme="majorBidi" w:cstheme="majorBidi"/>
          <w:color w:val="000000" w:themeColor="text1"/>
        </w:rPr>
        <w:t xml:space="preserve">% à un maintien au même niveau et </w:t>
      </w:r>
      <w:r w:rsidR="00B51868" w:rsidRPr="00D7317E">
        <w:rPr>
          <w:rFonts w:asciiTheme="majorBidi" w:hAnsiTheme="majorBidi" w:cstheme="majorBidi"/>
          <w:color w:val="000000" w:themeColor="text1"/>
        </w:rPr>
        <w:t>30,</w:t>
      </w:r>
      <w:r w:rsidR="00D65C0B" w:rsidRPr="00D7317E">
        <w:rPr>
          <w:rFonts w:asciiTheme="majorBidi" w:hAnsiTheme="majorBidi" w:cstheme="majorBidi"/>
          <w:color w:val="000000" w:themeColor="text1"/>
        </w:rPr>
        <w:t>6</w:t>
      </w:r>
      <w:r w:rsidR="00D61D3A" w:rsidRPr="00490B1D">
        <w:rPr>
          <w:rFonts w:asciiTheme="majorBidi" w:hAnsiTheme="majorBidi" w:cstheme="majorBidi"/>
          <w:color w:val="000000" w:themeColor="text1"/>
        </w:rPr>
        <w:t>%</w:t>
      </w:r>
      <w:r w:rsidR="00A5145B" w:rsidRPr="00490B1D">
        <w:rPr>
          <w:rFonts w:asciiTheme="majorBidi" w:hAnsiTheme="majorBidi" w:cstheme="majorBidi"/>
          <w:color w:val="000000" w:themeColor="text1"/>
        </w:rPr>
        <w:t xml:space="preserve"> à une dégradation</w:t>
      </w:r>
      <w:r w:rsidR="00F45C72" w:rsidRPr="00A94ECC">
        <w:rPr>
          <w:rFonts w:asciiTheme="majorBidi" w:hAnsiTheme="majorBidi" w:cstheme="majorBidi"/>
          <w:color w:val="000000" w:themeColor="text1"/>
        </w:rPr>
        <w:t xml:space="preserve">. </w:t>
      </w:r>
      <w:r w:rsidR="00754C54" w:rsidRPr="00A94ECC">
        <w:rPr>
          <w:rFonts w:asciiTheme="majorBidi" w:hAnsiTheme="majorBidi" w:cstheme="majorBidi"/>
          <w:color w:val="000000" w:themeColor="text1"/>
        </w:rPr>
        <w:t>Le solde d’opinion relatif à cet indicateur s’établit à</w:t>
      </w:r>
      <w:r w:rsidR="00182A70">
        <w:rPr>
          <w:rFonts w:asciiTheme="majorBidi" w:hAnsiTheme="majorBidi" w:cstheme="majorBidi"/>
          <w:color w:val="000000" w:themeColor="text1"/>
        </w:rPr>
        <w:t xml:space="preserve"> </w:t>
      </w:r>
      <w:r w:rsidR="00754C54" w:rsidRPr="00A94ECC">
        <w:rPr>
          <w:rFonts w:asciiTheme="majorBidi" w:hAnsiTheme="majorBidi" w:cstheme="majorBidi"/>
          <w:color w:val="000000" w:themeColor="text1"/>
        </w:rPr>
        <w:t xml:space="preserve">moins 13,9 points </w:t>
      </w:r>
      <w:r w:rsidR="00182A70">
        <w:rPr>
          <w:rFonts w:asciiTheme="majorBidi" w:hAnsiTheme="majorBidi" w:cstheme="majorBidi"/>
          <w:color w:val="000000" w:themeColor="text1"/>
        </w:rPr>
        <w:t xml:space="preserve">contre </w:t>
      </w:r>
      <w:r w:rsidR="00182A70" w:rsidRPr="00A94ECC">
        <w:rPr>
          <w:rFonts w:asciiTheme="majorBidi" w:hAnsiTheme="majorBidi" w:cstheme="majorBidi"/>
          <w:color w:val="000000" w:themeColor="text1"/>
        </w:rPr>
        <w:t xml:space="preserve"> moins</w:t>
      </w:r>
      <w:r w:rsidR="00EE6647">
        <w:rPr>
          <w:rFonts w:asciiTheme="majorBidi" w:hAnsiTheme="majorBidi" w:cstheme="majorBidi"/>
          <w:color w:val="000000" w:themeColor="text1"/>
        </w:rPr>
        <w:t xml:space="preserve"> </w:t>
      </w:r>
      <w:r w:rsidR="00182A70" w:rsidRPr="00A94ECC">
        <w:rPr>
          <w:rFonts w:asciiTheme="majorBidi" w:hAnsiTheme="majorBidi" w:cstheme="majorBidi"/>
          <w:color w:val="000000" w:themeColor="text1"/>
        </w:rPr>
        <w:t>13,4 point</w:t>
      </w:r>
      <w:r w:rsidR="00EE6647">
        <w:rPr>
          <w:rFonts w:asciiTheme="majorBidi" w:hAnsiTheme="majorBidi" w:cstheme="majorBidi"/>
          <w:color w:val="000000" w:themeColor="text1"/>
        </w:rPr>
        <w:t>s</w:t>
      </w:r>
      <w:r w:rsidR="00182A70" w:rsidRPr="00A94ECC">
        <w:rPr>
          <w:rFonts w:asciiTheme="majorBidi" w:hAnsiTheme="majorBidi" w:cstheme="majorBidi"/>
          <w:color w:val="000000" w:themeColor="text1"/>
        </w:rPr>
        <w:t xml:space="preserve"> </w:t>
      </w:r>
      <w:r w:rsidR="00754C54" w:rsidRPr="00A94ECC">
        <w:rPr>
          <w:rFonts w:asciiTheme="majorBidi" w:hAnsiTheme="majorBidi" w:cstheme="majorBidi"/>
          <w:color w:val="000000" w:themeColor="text1"/>
        </w:rPr>
        <w:t>au trimestre précédent</w:t>
      </w:r>
      <w:r w:rsidR="00182A70">
        <w:rPr>
          <w:rFonts w:asciiTheme="majorBidi" w:hAnsiTheme="majorBidi" w:cstheme="majorBidi"/>
          <w:color w:val="000000" w:themeColor="text1"/>
        </w:rPr>
        <w:t xml:space="preserve"> et </w:t>
      </w:r>
      <w:r w:rsidR="00754C54" w:rsidRPr="00A94ECC">
        <w:rPr>
          <w:rFonts w:asciiTheme="majorBidi" w:hAnsiTheme="majorBidi" w:cstheme="majorBidi"/>
          <w:color w:val="000000" w:themeColor="text1"/>
        </w:rPr>
        <w:t xml:space="preserve"> </w:t>
      </w:r>
      <w:r w:rsidR="00182A70" w:rsidRPr="00A94ECC">
        <w:rPr>
          <w:rFonts w:asciiTheme="majorBidi" w:hAnsiTheme="majorBidi" w:cstheme="majorBidi"/>
          <w:color w:val="000000" w:themeColor="text1"/>
        </w:rPr>
        <w:t xml:space="preserve">moins 6,1 points </w:t>
      </w:r>
      <w:r w:rsidR="00754C54" w:rsidRPr="00A94ECC">
        <w:rPr>
          <w:rFonts w:asciiTheme="majorBidi" w:hAnsiTheme="majorBidi" w:cstheme="majorBidi"/>
          <w:color w:val="000000" w:themeColor="text1"/>
        </w:rPr>
        <w:t>au même trimestre de l’année précédente</w:t>
      </w:r>
      <w:r w:rsidR="00182A70">
        <w:rPr>
          <w:rFonts w:asciiTheme="majorBidi" w:hAnsiTheme="majorBidi" w:cstheme="majorBidi"/>
          <w:color w:val="000000" w:themeColor="text1"/>
        </w:rPr>
        <w:t>.</w:t>
      </w:r>
      <w:r w:rsidR="00754C54" w:rsidRPr="00A94ECC">
        <w:rPr>
          <w:rFonts w:asciiTheme="majorBidi" w:hAnsiTheme="majorBidi" w:cstheme="majorBidi"/>
          <w:color w:val="000000" w:themeColor="text1"/>
        </w:rPr>
        <w:t xml:space="preserve"> </w:t>
      </w:r>
    </w:p>
    <w:p w:rsidR="0005569E" w:rsidRPr="00490B1D" w:rsidRDefault="0005569E" w:rsidP="00570C0E">
      <w:pPr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E40BD5" w:rsidRPr="000321D6" w:rsidRDefault="002830E2" w:rsidP="00231324">
      <w:pPr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lastRenderedPageBreak/>
        <w:t xml:space="preserve">Graphique 5 : </w:t>
      </w:r>
      <w:r w:rsidR="00231324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S</w:t>
      </w:r>
      <w:r w:rsidR="00231324"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ituation financière</w:t>
      </w:r>
      <w:r w:rsidR="00231324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 des ménages</w:t>
      </w:r>
      <w:r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 (soldes d'opinions) </w:t>
      </w:r>
    </w:p>
    <w:p w:rsidR="00E40BD5" w:rsidRDefault="00E40BD5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>
            <wp:extent cx="6619067" cy="4940135"/>
            <wp:effectExtent l="19050" t="0" r="10333" b="0"/>
            <wp:docPr id="6" name="Graphique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830E2" w:rsidRDefault="002830E2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D87BB9" w:rsidRPr="00490B1D" w:rsidRDefault="00D87BB9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0E21A1" w:rsidRPr="00231324" w:rsidRDefault="00231324" w:rsidP="00231324">
      <w:pPr>
        <w:spacing w:line="360" w:lineRule="auto"/>
        <w:jc w:val="both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2. </w:t>
      </w:r>
      <w:r w:rsidR="000E21A1" w:rsidRPr="00231324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Evolution d’autres indicateurs </w:t>
      </w:r>
      <w:r w:rsidR="005D5DB2" w:rsidRPr="00231324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trimestriels </w:t>
      </w:r>
      <w:r w:rsidR="00D75C4F" w:rsidRPr="00231324">
        <w:rPr>
          <w:rFonts w:asciiTheme="majorBidi" w:hAnsiTheme="majorBidi" w:cstheme="majorBidi"/>
          <w:b/>
          <w:bCs/>
          <w:color w:val="000000"/>
          <w:sz w:val="26"/>
          <w:szCs w:val="26"/>
        </w:rPr>
        <w:t>de la conjoncture</w:t>
      </w:r>
    </w:p>
    <w:p w:rsidR="00EE6647" w:rsidRDefault="00D52D57" w:rsidP="00943247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490B1D">
        <w:rPr>
          <w:rFonts w:asciiTheme="majorBidi" w:hAnsiTheme="majorBidi" w:cstheme="majorBidi"/>
          <w:color w:val="000000" w:themeColor="text1"/>
        </w:rPr>
        <w:t>L’enquête fournit également des données trimestrielles sur l</w:t>
      </w:r>
      <w:r w:rsidR="001F7D34" w:rsidRPr="00490B1D">
        <w:rPr>
          <w:rFonts w:asciiTheme="majorBidi" w:hAnsiTheme="majorBidi" w:cstheme="majorBidi"/>
          <w:color w:val="000000" w:themeColor="text1"/>
        </w:rPr>
        <w:t xml:space="preserve">a </w:t>
      </w:r>
      <w:r w:rsidRPr="00490B1D">
        <w:rPr>
          <w:rFonts w:asciiTheme="majorBidi" w:hAnsiTheme="majorBidi" w:cstheme="majorBidi"/>
          <w:color w:val="000000" w:themeColor="text1"/>
        </w:rPr>
        <w:t xml:space="preserve">perception des ménages relatives à d’autres aspects des conditions de vie. Il s’agit en particulier de la </w:t>
      </w:r>
      <w:r w:rsidR="001F7D34" w:rsidRPr="00490B1D">
        <w:rPr>
          <w:rFonts w:asciiTheme="majorBidi" w:hAnsiTheme="majorBidi" w:cstheme="majorBidi"/>
          <w:color w:val="000000" w:themeColor="text1"/>
        </w:rPr>
        <w:t>capacité des ménages à épargner et</w:t>
      </w:r>
      <w:r w:rsidR="00D26C8A">
        <w:rPr>
          <w:rFonts w:asciiTheme="majorBidi" w:hAnsiTheme="majorBidi" w:cstheme="majorBidi"/>
          <w:color w:val="000000" w:themeColor="text1"/>
        </w:rPr>
        <w:t xml:space="preserve"> </w:t>
      </w:r>
      <w:r w:rsidR="0005569E" w:rsidRPr="00490B1D">
        <w:rPr>
          <w:rFonts w:asciiTheme="majorBidi" w:hAnsiTheme="majorBidi" w:cstheme="majorBidi"/>
          <w:color w:val="000000" w:themeColor="text1"/>
        </w:rPr>
        <w:t>de l’évolution</w:t>
      </w:r>
      <w:r w:rsidR="001F7D34" w:rsidRPr="00490B1D">
        <w:rPr>
          <w:rFonts w:asciiTheme="majorBidi" w:hAnsiTheme="majorBidi" w:cstheme="majorBidi"/>
          <w:color w:val="000000" w:themeColor="text1"/>
        </w:rPr>
        <w:t xml:space="preserve"> des prix des produits alimentaires</w:t>
      </w:r>
      <w:r w:rsidR="0071373B" w:rsidRPr="00490B1D">
        <w:rPr>
          <w:rFonts w:asciiTheme="majorBidi" w:hAnsiTheme="majorBidi" w:cstheme="majorBidi"/>
          <w:color w:val="000000" w:themeColor="text1"/>
        </w:rPr>
        <w:t xml:space="preserve">. </w:t>
      </w:r>
    </w:p>
    <w:p w:rsidR="00D32E51" w:rsidRDefault="00D32E51" w:rsidP="00943247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1161F3" w:rsidRPr="00D87BB9" w:rsidRDefault="00064654" w:rsidP="00570C0E">
      <w:pPr>
        <w:pStyle w:val="Paragraphedeliste"/>
        <w:numPr>
          <w:ilvl w:val="0"/>
          <w:numId w:val="8"/>
        </w:numPr>
        <w:spacing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D87BB9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Capacité future à épargner : Perceptions </w:t>
      </w:r>
      <w:r w:rsidR="00277499" w:rsidRPr="00D87BB9">
        <w:rPr>
          <w:rFonts w:asciiTheme="majorBidi" w:hAnsiTheme="majorBidi" w:cstheme="majorBidi"/>
          <w:b/>
          <w:bCs/>
          <w:color w:val="000000"/>
          <w:sz w:val="26"/>
          <w:szCs w:val="26"/>
        </w:rPr>
        <w:t>pessimiste</w:t>
      </w:r>
      <w:r w:rsidRPr="00D87BB9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s </w:t>
      </w:r>
    </w:p>
    <w:p w:rsidR="00353BBD" w:rsidRDefault="00AE5641" w:rsidP="00EE6647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490B1D">
        <w:rPr>
          <w:rFonts w:asciiTheme="majorBidi" w:hAnsiTheme="majorBidi" w:cstheme="majorBidi"/>
          <w:color w:val="000000" w:themeColor="text1"/>
        </w:rPr>
        <w:t xml:space="preserve">Au </w:t>
      </w:r>
      <w:r w:rsidR="00F04852" w:rsidRPr="00490B1D">
        <w:rPr>
          <w:rFonts w:asciiTheme="majorBidi" w:hAnsiTheme="majorBidi" w:cstheme="majorBidi"/>
          <w:color w:val="000000" w:themeColor="text1"/>
        </w:rPr>
        <w:t>deuxième</w:t>
      </w:r>
      <w:r w:rsidR="00D55501" w:rsidRPr="00490B1D">
        <w:rPr>
          <w:rFonts w:asciiTheme="majorBidi" w:hAnsiTheme="majorBidi" w:cstheme="majorBidi"/>
          <w:color w:val="000000" w:themeColor="text1"/>
        </w:rPr>
        <w:t xml:space="preserve"> trimestre</w:t>
      </w:r>
      <w:r w:rsidR="00EE6647">
        <w:rPr>
          <w:rFonts w:asciiTheme="majorBidi" w:hAnsiTheme="majorBidi" w:cstheme="majorBidi"/>
          <w:color w:val="000000" w:themeColor="text1"/>
        </w:rPr>
        <w:t xml:space="preserve"> </w:t>
      </w:r>
      <w:r w:rsidR="00707360" w:rsidRPr="00490B1D">
        <w:rPr>
          <w:rFonts w:asciiTheme="majorBidi" w:hAnsiTheme="majorBidi" w:cstheme="majorBidi"/>
          <w:color w:val="000000" w:themeColor="text1"/>
        </w:rPr>
        <w:t>de</w:t>
      </w:r>
      <w:r w:rsidR="00EE6647">
        <w:rPr>
          <w:rFonts w:asciiTheme="majorBidi" w:hAnsiTheme="majorBidi" w:cstheme="majorBidi"/>
          <w:color w:val="000000" w:themeColor="text1"/>
        </w:rPr>
        <w:t xml:space="preserve"> </w:t>
      </w:r>
      <w:r w:rsidR="0097329A">
        <w:rPr>
          <w:rFonts w:asciiTheme="majorBidi" w:hAnsiTheme="majorBidi" w:cstheme="majorBidi"/>
          <w:color w:val="000000" w:themeColor="text1"/>
        </w:rPr>
        <w:t>2024</w:t>
      </w:r>
      <w:r w:rsidR="00D72CF7" w:rsidRPr="00490B1D">
        <w:rPr>
          <w:rFonts w:asciiTheme="majorBidi" w:hAnsiTheme="majorBidi" w:cstheme="majorBidi"/>
          <w:color w:val="000000" w:themeColor="text1"/>
        </w:rPr>
        <w:t>,</w:t>
      </w:r>
      <w:r w:rsidR="00EE6647">
        <w:rPr>
          <w:rFonts w:asciiTheme="majorBidi" w:hAnsiTheme="majorBidi" w:cstheme="majorBidi"/>
          <w:color w:val="000000" w:themeColor="text1"/>
        </w:rPr>
        <w:t xml:space="preserve"> </w:t>
      </w:r>
      <w:r w:rsidR="00B51868" w:rsidRPr="00D7317E">
        <w:rPr>
          <w:rFonts w:asciiTheme="majorBidi" w:hAnsiTheme="majorBidi" w:cstheme="majorBidi"/>
          <w:color w:val="000000" w:themeColor="text1"/>
        </w:rPr>
        <w:t>9,8</w:t>
      </w:r>
      <w:r w:rsidR="00D61D3A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="00256C03" w:rsidRPr="00490B1D">
        <w:rPr>
          <w:rFonts w:asciiTheme="majorBidi" w:hAnsiTheme="majorBidi" w:cstheme="majorBidi"/>
          <w:color w:val="000000" w:themeColor="text1"/>
        </w:rPr>
        <w:t xml:space="preserve">contre </w:t>
      </w:r>
      <w:r w:rsidR="00B51868" w:rsidRPr="00D7317E">
        <w:rPr>
          <w:rFonts w:asciiTheme="majorBidi" w:hAnsiTheme="majorBidi" w:cstheme="majorBidi"/>
          <w:color w:val="000000" w:themeColor="text1"/>
        </w:rPr>
        <w:t>90,2</w:t>
      </w:r>
      <w:r w:rsidR="00D61D3A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="00DE048F" w:rsidRPr="00490B1D">
        <w:rPr>
          <w:rFonts w:asciiTheme="majorBidi" w:hAnsiTheme="majorBidi" w:cstheme="majorBidi"/>
          <w:color w:val="000000" w:themeColor="text1"/>
        </w:rPr>
        <w:t>des ménages</w:t>
      </w:r>
      <w:r w:rsidR="00D26C8A">
        <w:rPr>
          <w:rFonts w:asciiTheme="majorBidi" w:hAnsiTheme="majorBidi" w:cstheme="majorBidi"/>
          <w:color w:val="000000" w:themeColor="text1"/>
        </w:rPr>
        <w:t xml:space="preserve"> </w:t>
      </w:r>
      <w:r w:rsidR="004153FC" w:rsidRPr="00490B1D">
        <w:rPr>
          <w:rFonts w:asciiTheme="majorBidi" w:hAnsiTheme="majorBidi" w:cstheme="majorBidi"/>
          <w:color w:val="000000" w:themeColor="text1"/>
        </w:rPr>
        <w:t xml:space="preserve">s’attendent à </w:t>
      </w:r>
      <w:r w:rsidR="00511C57" w:rsidRPr="00490B1D">
        <w:rPr>
          <w:rFonts w:asciiTheme="majorBidi" w:hAnsiTheme="majorBidi" w:cstheme="majorBidi"/>
          <w:color w:val="000000" w:themeColor="text1"/>
        </w:rPr>
        <w:t xml:space="preserve">épargner au cours des 12 prochains </w:t>
      </w:r>
      <w:r w:rsidR="0005706F" w:rsidRPr="00490B1D">
        <w:rPr>
          <w:rFonts w:asciiTheme="majorBidi" w:hAnsiTheme="majorBidi" w:cstheme="majorBidi"/>
          <w:color w:val="000000" w:themeColor="text1"/>
        </w:rPr>
        <w:t>mois</w:t>
      </w:r>
      <w:r w:rsidR="008450B0" w:rsidRPr="00490B1D">
        <w:rPr>
          <w:rFonts w:asciiTheme="majorBidi" w:hAnsiTheme="majorBidi" w:cstheme="majorBidi"/>
          <w:color w:val="000000" w:themeColor="text1"/>
        </w:rPr>
        <w:t> .</w:t>
      </w:r>
      <w:r w:rsidR="00353BBD" w:rsidRPr="00490B1D">
        <w:rPr>
          <w:rFonts w:asciiTheme="majorBidi" w:hAnsiTheme="majorBidi" w:cstheme="majorBidi"/>
          <w:color w:val="000000" w:themeColor="text1"/>
        </w:rPr>
        <w:t xml:space="preserve">Le solde d’opinion de cet indicateur est resté ainsi négatif, à moins </w:t>
      </w:r>
      <w:r w:rsidR="00353BBD" w:rsidRPr="00D7317E">
        <w:rPr>
          <w:rFonts w:asciiTheme="majorBidi" w:hAnsiTheme="majorBidi" w:cstheme="majorBidi"/>
          <w:color w:val="000000" w:themeColor="text1"/>
        </w:rPr>
        <w:t>80,</w:t>
      </w:r>
      <w:r w:rsidR="00EE6647">
        <w:rPr>
          <w:rFonts w:asciiTheme="majorBidi" w:hAnsiTheme="majorBidi" w:cstheme="majorBidi"/>
          <w:color w:val="000000" w:themeColor="text1"/>
        </w:rPr>
        <w:t xml:space="preserve">4 </w:t>
      </w:r>
      <w:r w:rsidR="00353BBD" w:rsidRPr="00490B1D">
        <w:rPr>
          <w:rFonts w:asciiTheme="majorBidi" w:hAnsiTheme="majorBidi" w:cstheme="majorBidi"/>
          <w:color w:val="000000" w:themeColor="text1"/>
        </w:rPr>
        <w:t xml:space="preserve">points contre moins </w:t>
      </w:r>
      <w:r w:rsidR="00353BBD" w:rsidRPr="003763AE">
        <w:rPr>
          <w:rFonts w:asciiTheme="majorBidi" w:hAnsiTheme="majorBidi" w:cstheme="majorBidi"/>
          <w:color w:val="000000" w:themeColor="text1"/>
        </w:rPr>
        <w:t>81,5</w:t>
      </w:r>
      <w:r w:rsidR="00EE6647">
        <w:rPr>
          <w:rFonts w:asciiTheme="majorBidi" w:hAnsiTheme="majorBidi" w:cstheme="majorBidi"/>
          <w:color w:val="000000" w:themeColor="text1"/>
        </w:rPr>
        <w:t xml:space="preserve"> </w:t>
      </w:r>
      <w:r w:rsidR="00353BBD" w:rsidRPr="00490B1D">
        <w:rPr>
          <w:rFonts w:asciiTheme="majorBidi" w:hAnsiTheme="majorBidi" w:cstheme="majorBidi"/>
          <w:color w:val="000000" w:themeColor="text1"/>
        </w:rPr>
        <w:t>points le trimestre précédent et moins 79,4</w:t>
      </w:r>
      <w:r w:rsidR="00EE6647">
        <w:rPr>
          <w:rFonts w:asciiTheme="majorBidi" w:hAnsiTheme="majorBidi" w:cstheme="majorBidi"/>
          <w:color w:val="000000" w:themeColor="text1"/>
        </w:rPr>
        <w:t xml:space="preserve">  </w:t>
      </w:r>
      <w:r w:rsidR="00353BBD" w:rsidRPr="00490B1D">
        <w:rPr>
          <w:rFonts w:asciiTheme="majorBidi" w:hAnsiTheme="majorBidi" w:cstheme="majorBidi"/>
          <w:color w:val="000000" w:themeColor="text1"/>
        </w:rPr>
        <w:t>points une année auparavant.</w:t>
      </w:r>
    </w:p>
    <w:p w:rsidR="00BB4988" w:rsidRDefault="00BB4988" w:rsidP="00EE6647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:rsidR="00BB4988" w:rsidRDefault="00BB4988" w:rsidP="00EE6647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  <w:rtl/>
        </w:rPr>
      </w:pPr>
    </w:p>
    <w:p w:rsidR="00BB4988" w:rsidRPr="00D87BB9" w:rsidRDefault="00BB4988" w:rsidP="00BB4988">
      <w:pPr>
        <w:pStyle w:val="Paragraphedeliste"/>
        <w:numPr>
          <w:ilvl w:val="0"/>
          <w:numId w:val="8"/>
        </w:numPr>
        <w:spacing w:before="240" w:line="360" w:lineRule="auto"/>
        <w:ind w:left="0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D87BB9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lastRenderedPageBreak/>
        <w:t xml:space="preserve">Prix des produits alimentaires : Attente d’une hausse </w:t>
      </w:r>
    </w:p>
    <w:p w:rsidR="00B626B3" w:rsidRPr="00BB4988" w:rsidRDefault="00CE443B" w:rsidP="00BB4988">
      <w:pPr>
        <w:pStyle w:val="Paragraphedeliste"/>
        <w:spacing w:before="240" w:line="360" w:lineRule="auto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  <w:r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</w:t>
      </w:r>
      <w:r w:rsidR="00F04852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deuxième</w:t>
      </w:r>
      <w:r w:rsidR="00D55501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trimestre</w:t>
      </w:r>
      <w:r w:rsidR="00EE66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07360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</w:t>
      </w:r>
      <w:r w:rsidR="00EE66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97329A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2024</w:t>
      </w:r>
      <w:r w:rsidR="00985AB3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, </w:t>
      </w:r>
      <w:r w:rsidR="00B51868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96,4</w:t>
      </w:r>
      <w:r w:rsidR="003B3D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%</w:t>
      </w:r>
      <w:r w:rsidR="000A2E9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des ménages </w:t>
      </w:r>
      <w:r w:rsidR="005F72D8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déclarent</w:t>
      </w:r>
      <w:r w:rsidR="00EE66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A644C5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que les prix des produits alimentaires ont augmenté</w:t>
      </w:r>
      <w:r w:rsidR="00EE66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A013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cours des </w:t>
      </w:r>
      <w:r w:rsidR="00E009EE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12 derniers mois</w:t>
      </w:r>
      <w:r w:rsidR="00EE66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27BBA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contre une proportion minime des ménages (</w:t>
      </w:r>
      <w:r w:rsidR="00B51868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0,4</w:t>
      </w:r>
      <w:r w:rsidR="003B3D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%</w:t>
      </w:r>
      <w:r w:rsidR="00601474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)</w:t>
      </w:r>
      <w:r w:rsidR="00EE66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27BBA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qui</w:t>
      </w:r>
      <w:r w:rsidR="00EE66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5F72D8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ressentent leur</w:t>
      </w:r>
      <w:r w:rsidR="00932455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diminution</w:t>
      </w:r>
      <w:r w:rsidR="00D77F2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. </w:t>
      </w:r>
      <w:r w:rsidR="00B626B3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Le solde d’opinion est resté ainsi négatif à moins </w:t>
      </w:r>
      <w:r w:rsidR="003763AE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96</w:t>
      </w:r>
      <w:r w:rsidR="00EE66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,0 points contre </w:t>
      </w:r>
      <w:r w:rsidR="00B626B3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moins </w:t>
      </w:r>
      <w:r w:rsidR="003763AE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96,5</w:t>
      </w:r>
      <w:r w:rsidR="00EE66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B626B3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points un trimestre auparavant et moins </w:t>
      </w:r>
      <w:r w:rsidR="003763AE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98</w:t>
      </w:r>
      <w:r w:rsidR="00EE6647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,0 points </w:t>
      </w:r>
      <w:r w:rsidR="00B626B3" w:rsidRPr="00BB4988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un an auparavant.</w:t>
      </w:r>
    </w:p>
    <w:p w:rsidR="00B51868" w:rsidRPr="00490B1D" w:rsidRDefault="00EB605E" w:rsidP="00D26C8A">
      <w:pPr>
        <w:widowControl/>
        <w:tabs>
          <w:tab w:val="left" w:pos="709"/>
        </w:tabs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490B1D">
        <w:rPr>
          <w:rFonts w:asciiTheme="majorBidi" w:hAnsiTheme="majorBidi" w:cstheme="majorBidi"/>
          <w:color w:val="000000" w:themeColor="text1"/>
        </w:rPr>
        <w:t>Quant à l’évolution des prix des produits alimentaires a</w:t>
      </w:r>
      <w:r w:rsidR="004153FC" w:rsidRPr="00490B1D">
        <w:rPr>
          <w:rFonts w:asciiTheme="majorBidi" w:hAnsiTheme="majorBidi" w:cstheme="majorBidi"/>
          <w:color w:val="000000" w:themeColor="text1"/>
        </w:rPr>
        <w:t xml:space="preserve">u cours des 12 prochains mois, </w:t>
      </w:r>
      <w:r w:rsidR="00B51868" w:rsidRPr="00D7317E">
        <w:rPr>
          <w:rFonts w:asciiTheme="majorBidi" w:hAnsiTheme="majorBidi" w:cstheme="majorBidi"/>
          <w:color w:val="000000" w:themeColor="text1"/>
        </w:rPr>
        <w:t>82,1</w:t>
      </w:r>
      <w:r w:rsidR="00CE5F9D" w:rsidRPr="00490B1D">
        <w:rPr>
          <w:rFonts w:asciiTheme="majorBidi" w:hAnsiTheme="majorBidi" w:cstheme="majorBidi"/>
          <w:color w:val="000000" w:themeColor="text1"/>
        </w:rPr>
        <w:t xml:space="preserve">% des ménages s’attendent à une augmentation, </w:t>
      </w:r>
      <w:r w:rsidR="00B51868" w:rsidRPr="00D7317E">
        <w:rPr>
          <w:rFonts w:asciiTheme="majorBidi" w:hAnsiTheme="majorBidi" w:cstheme="majorBidi"/>
          <w:color w:val="000000" w:themeColor="text1"/>
        </w:rPr>
        <w:t>1</w:t>
      </w:r>
      <w:r w:rsidR="00F93005">
        <w:rPr>
          <w:rFonts w:asciiTheme="majorBidi" w:hAnsiTheme="majorBidi" w:cstheme="majorBidi"/>
          <w:color w:val="000000" w:themeColor="text1"/>
        </w:rPr>
        <w:t>4</w:t>
      </w:r>
      <w:r w:rsidR="00B51868" w:rsidRPr="00D7317E">
        <w:rPr>
          <w:rFonts w:asciiTheme="majorBidi" w:hAnsiTheme="majorBidi" w:cstheme="majorBidi"/>
          <w:color w:val="000000" w:themeColor="text1"/>
        </w:rPr>
        <w:t>,</w:t>
      </w:r>
      <w:r w:rsidR="00F93005">
        <w:rPr>
          <w:rFonts w:asciiTheme="majorBidi" w:hAnsiTheme="majorBidi" w:cstheme="majorBidi"/>
          <w:color w:val="000000" w:themeColor="text1"/>
        </w:rPr>
        <w:t>9</w:t>
      </w:r>
      <w:r w:rsidR="0005569E" w:rsidRPr="00490B1D">
        <w:rPr>
          <w:rFonts w:asciiTheme="majorBidi" w:hAnsiTheme="majorBidi" w:cstheme="majorBidi"/>
          <w:color w:val="000000" w:themeColor="text1"/>
        </w:rPr>
        <w:t>% à</w:t>
      </w:r>
      <w:r w:rsidR="00CE5F9D" w:rsidRPr="00490B1D">
        <w:rPr>
          <w:rFonts w:asciiTheme="majorBidi" w:hAnsiTheme="majorBidi" w:cstheme="majorBidi"/>
          <w:color w:val="000000" w:themeColor="text1"/>
        </w:rPr>
        <w:t xml:space="preserve"> un maintien au même niveau</w:t>
      </w:r>
      <w:r w:rsidR="001161F3" w:rsidRPr="00490B1D">
        <w:rPr>
          <w:rFonts w:asciiTheme="majorBidi" w:hAnsiTheme="majorBidi" w:cstheme="majorBidi"/>
          <w:color w:val="000000" w:themeColor="text1"/>
        </w:rPr>
        <w:t xml:space="preserve"> et </w:t>
      </w:r>
      <w:r w:rsidR="00F93005">
        <w:rPr>
          <w:rFonts w:asciiTheme="majorBidi" w:hAnsiTheme="majorBidi" w:cstheme="majorBidi"/>
          <w:color w:val="000000" w:themeColor="text1"/>
        </w:rPr>
        <w:t>3,0</w:t>
      </w:r>
      <w:r w:rsidR="003B3D47" w:rsidRPr="00490B1D">
        <w:rPr>
          <w:rFonts w:asciiTheme="majorBidi" w:hAnsiTheme="majorBidi" w:cstheme="majorBidi"/>
          <w:color w:val="000000" w:themeColor="text1"/>
        </w:rPr>
        <w:t xml:space="preserve">% </w:t>
      </w:r>
      <w:r w:rsidR="00EE6647">
        <w:rPr>
          <w:rFonts w:asciiTheme="majorBidi" w:hAnsiTheme="majorBidi" w:cstheme="majorBidi"/>
          <w:color w:val="000000" w:themeColor="text1"/>
        </w:rPr>
        <w:t>à</w:t>
      </w:r>
      <w:r w:rsidR="001161F3" w:rsidRPr="00490B1D">
        <w:rPr>
          <w:rFonts w:asciiTheme="majorBidi" w:hAnsiTheme="majorBidi" w:cstheme="majorBidi"/>
          <w:color w:val="000000" w:themeColor="text1"/>
        </w:rPr>
        <w:t xml:space="preserve"> une </w:t>
      </w:r>
      <w:r w:rsidR="00814B70" w:rsidRPr="00490B1D">
        <w:rPr>
          <w:rFonts w:asciiTheme="majorBidi" w:hAnsiTheme="majorBidi" w:cstheme="majorBidi"/>
          <w:color w:val="000000" w:themeColor="text1"/>
        </w:rPr>
        <w:t>diminution.</w:t>
      </w:r>
      <w:r w:rsidR="00EE6647">
        <w:rPr>
          <w:rFonts w:asciiTheme="majorBidi" w:hAnsiTheme="majorBidi" w:cstheme="majorBidi"/>
          <w:color w:val="000000" w:themeColor="text1"/>
        </w:rPr>
        <w:t xml:space="preserve"> </w:t>
      </w:r>
      <w:r w:rsidR="00754C54" w:rsidRPr="00A94ECC">
        <w:rPr>
          <w:rFonts w:asciiTheme="majorBidi" w:hAnsiTheme="majorBidi" w:cstheme="majorBidi"/>
          <w:color w:val="000000" w:themeColor="text1"/>
        </w:rPr>
        <w:t xml:space="preserve">Le solde d’opinion relatif à cet indicateur s’établit à moins </w:t>
      </w:r>
      <w:r w:rsidR="00754C54" w:rsidRPr="00D7317E">
        <w:rPr>
          <w:rFonts w:asciiTheme="majorBidi" w:hAnsiTheme="majorBidi" w:cstheme="majorBidi"/>
          <w:color w:val="000000" w:themeColor="text1"/>
        </w:rPr>
        <w:t xml:space="preserve">79,1 </w:t>
      </w:r>
      <w:r w:rsidR="00754C54" w:rsidRPr="00A94ECC">
        <w:rPr>
          <w:rFonts w:asciiTheme="majorBidi" w:hAnsiTheme="majorBidi" w:cstheme="majorBidi"/>
          <w:color w:val="000000" w:themeColor="text1"/>
        </w:rPr>
        <w:t xml:space="preserve">points </w:t>
      </w:r>
      <w:r w:rsidR="00EE6647">
        <w:rPr>
          <w:rFonts w:asciiTheme="majorBidi" w:hAnsiTheme="majorBidi" w:cstheme="majorBidi"/>
          <w:color w:val="000000" w:themeColor="text1"/>
        </w:rPr>
        <w:t xml:space="preserve">contre </w:t>
      </w:r>
      <w:r w:rsidR="00EE6647" w:rsidRPr="00A94ECC">
        <w:rPr>
          <w:rFonts w:asciiTheme="majorBidi" w:hAnsiTheme="majorBidi" w:cstheme="majorBidi"/>
          <w:color w:val="000000" w:themeColor="text1"/>
        </w:rPr>
        <w:t xml:space="preserve">moins </w:t>
      </w:r>
      <w:r w:rsidR="00EE6647" w:rsidRPr="00D7317E">
        <w:rPr>
          <w:rFonts w:asciiTheme="majorBidi" w:hAnsiTheme="majorBidi" w:cstheme="majorBidi"/>
          <w:color w:val="000000" w:themeColor="text1"/>
        </w:rPr>
        <w:t xml:space="preserve">70,1 </w:t>
      </w:r>
      <w:r w:rsidR="00EE6647" w:rsidRPr="00A94ECC">
        <w:rPr>
          <w:rFonts w:asciiTheme="majorBidi" w:hAnsiTheme="majorBidi" w:cstheme="majorBidi"/>
          <w:color w:val="000000" w:themeColor="text1"/>
        </w:rPr>
        <w:t>point</w:t>
      </w:r>
      <w:r w:rsidR="00EE6647">
        <w:rPr>
          <w:rFonts w:asciiTheme="majorBidi" w:hAnsiTheme="majorBidi" w:cstheme="majorBidi"/>
          <w:color w:val="000000" w:themeColor="text1"/>
        </w:rPr>
        <w:t>s</w:t>
      </w:r>
      <w:r w:rsidR="00EE6647" w:rsidRPr="00A94ECC">
        <w:rPr>
          <w:rFonts w:asciiTheme="majorBidi" w:hAnsiTheme="majorBidi" w:cstheme="majorBidi"/>
          <w:color w:val="000000" w:themeColor="text1"/>
        </w:rPr>
        <w:t xml:space="preserve"> </w:t>
      </w:r>
      <w:r w:rsidR="00754C54" w:rsidRPr="00A94ECC">
        <w:rPr>
          <w:rFonts w:asciiTheme="majorBidi" w:hAnsiTheme="majorBidi" w:cstheme="majorBidi"/>
          <w:color w:val="000000" w:themeColor="text1"/>
        </w:rPr>
        <w:t xml:space="preserve">au trimestre précédent </w:t>
      </w:r>
      <w:r w:rsidR="00EE6647">
        <w:rPr>
          <w:rFonts w:asciiTheme="majorBidi" w:hAnsiTheme="majorBidi" w:cstheme="majorBidi"/>
          <w:color w:val="000000" w:themeColor="text1"/>
        </w:rPr>
        <w:t xml:space="preserve">et </w:t>
      </w:r>
      <w:r w:rsidR="00EE6647" w:rsidRPr="00A94ECC">
        <w:rPr>
          <w:rFonts w:asciiTheme="majorBidi" w:hAnsiTheme="majorBidi" w:cstheme="majorBidi"/>
          <w:color w:val="000000" w:themeColor="text1"/>
        </w:rPr>
        <w:t xml:space="preserve">moins </w:t>
      </w:r>
      <w:r w:rsidR="00EE6647" w:rsidRPr="00D7317E">
        <w:rPr>
          <w:rFonts w:asciiTheme="majorBidi" w:hAnsiTheme="majorBidi" w:cstheme="majorBidi"/>
          <w:color w:val="000000" w:themeColor="text1"/>
        </w:rPr>
        <w:t xml:space="preserve">67,7 </w:t>
      </w:r>
      <w:r w:rsidR="00EE6647" w:rsidRPr="00A94ECC">
        <w:rPr>
          <w:rFonts w:asciiTheme="majorBidi" w:hAnsiTheme="majorBidi" w:cstheme="majorBidi"/>
          <w:color w:val="000000" w:themeColor="text1"/>
        </w:rPr>
        <w:t xml:space="preserve">points </w:t>
      </w:r>
      <w:r w:rsidR="00754C54" w:rsidRPr="00A94ECC">
        <w:rPr>
          <w:rFonts w:asciiTheme="majorBidi" w:hAnsiTheme="majorBidi" w:cstheme="majorBidi"/>
          <w:color w:val="000000" w:themeColor="text1"/>
        </w:rPr>
        <w:t>au même trimestre de l’année précédente</w:t>
      </w:r>
      <w:r w:rsidR="00EE6647">
        <w:rPr>
          <w:rFonts w:asciiTheme="majorBidi" w:hAnsiTheme="majorBidi" w:cstheme="majorBidi"/>
          <w:color w:val="000000" w:themeColor="text1"/>
        </w:rPr>
        <w:t xml:space="preserve">. </w:t>
      </w:r>
    </w:p>
    <w:p w:rsidR="000321D6" w:rsidRDefault="002830E2" w:rsidP="00D26C8A">
      <w:pPr>
        <w:spacing w:before="240"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Graphique 6 :</w:t>
      </w:r>
      <w:r w:rsidR="00D26C8A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 </w:t>
      </w:r>
      <w:r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Perception par les ménages des évolutions passée et future des prix des produits </w:t>
      </w:r>
      <w:r w:rsidR="0005569E"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alimentaires (</w:t>
      </w:r>
      <w:r w:rsidRPr="00490B1D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soldes d'opinions) </w:t>
      </w:r>
    </w:p>
    <w:p w:rsidR="000321D6" w:rsidRDefault="000321D6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>
            <wp:extent cx="6468478" cy="3946358"/>
            <wp:effectExtent l="19050" t="0" r="27572" b="0"/>
            <wp:docPr id="7" name="Graphique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830E2" w:rsidRDefault="002830E2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D87BB9" w:rsidRDefault="00D87BB9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:rsidR="00D87BB9" w:rsidRDefault="00D87BB9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:rsidR="00D87BB9" w:rsidRDefault="00D87BB9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:rsidR="00D87BB9" w:rsidRDefault="00D87BB9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:rsidR="00D87BB9" w:rsidRDefault="00D87BB9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:rsidR="00D87BB9" w:rsidRDefault="00D87BB9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:rsidR="00D87BB9" w:rsidRPr="00490B1D" w:rsidRDefault="00D87BB9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:rsidR="003A0725" w:rsidRPr="00490B1D" w:rsidRDefault="00C72318" w:rsidP="00570C0E">
      <w:pPr>
        <w:spacing w:line="360" w:lineRule="auto"/>
        <w:rPr>
          <w:rFonts w:asciiTheme="majorBidi" w:hAnsiTheme="majorBidi" w:cstheme="majorBidi"/>
          <w:color w:val="000000" w:themeColor="text1"/>
        </w:rPr>
      </w:pPr>
      <w:r w:rsidRPr="00490B1D">
        <w:rPr>
          <w:rFonts w:asciiTheme="majorBidi" w:hAnsiTheme="majorBidi" w:cstheme="majorBidi"/>
          <w:color w:val="000000" w:themeColor="text1"/>
        </w:rPr>
        <w:lastRenderedPageBreak/>
        <w:t>Ci-</w:t>
      </w:r>
      <w:r w:rsidR="0005569E" w:rsidRPr="00490B1D">
        <w:rPr>
          <w:rFonts w:asciiTheme="majorBidi" w:hAnsiTheme="majorBidi" w:cstheme="majorBidi"/>
          <w:color w:val="000000" w:themeColor="text1"/>
        </w:rPr>
        <w:t>joint les</w:t>
      </w:r>
      <w:r w:rsidRPr="00490B1D">
        <w:rPr>
          <w:rFonts w:asciiTheme="majorBidi" w:hAnsiTheme="majorBidi" w:cstheme="majorBidi"/>
          <w:color w:val="000000" w:themeColor="text1"/>
        </w:rPr>
        <w:t xml:space="preserve"> détails des différents indicateurs et un rappel des principaux concepts.</w:t>
      </w:r>
    </w:p>
    <w:tbl>
      <w:tblPr>
        <w:tblpPr w:leftFromText="141" w:rightFromText="141" w:vertAnchor="text" w:horzAnchor="margin" w:tblpY="289"/>
        <w:tblW w:w="9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10"/>
      </w:tblGrid>
      <w:tr w:rsidR="003A0725" w:rsidRPr="00490B1D" w:rsidTr="00287AFB">
        <w:trPr>
          <w:trHeight w:val="8046"/>
        </w:trPr>
        <w:tc>
          <w:tcPr>
            <w:tcW w:w="9910" w:type="dxa"/>
          </w:tcPr>
          <w:p w:rsidR="000013E4" w:rsidRPr="00490B1D" w:rsidRDefault="000013E4" w:rsidP="00570C0E">
            <w:pPr>
              <w:spacing w:line="360" w:lineRule="auto"/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</w:rPr>
            </w:pPr>
          </w:p>
          <w:p w:rsidR="00C51B7C" w:rsidRPr="00490B1D" w:rsidRDefault="00C51B7C" w:rsidP="00570C0E">
            <w:pPr>
              <w:spacing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Les évolutions des composantes de l’ICM et des autres indicateurs de l’enquête, illustrées dans les graphiques, sont exprimées en termes de soldes d'opinions</w:t>
            </w:r>
          </w:p>
          <w:p w:rsidR="000013E4" w:rsidRPr="00490B1D" w:rsidRDefault="000013E4" w:rsidP="00570C0E">
            <w:pPr>
              <w:spacing w:line="360" w:lineRule="auto"/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  <w:p w:rsidR="003A0725" w:rsidRPr="00490B1D" w:rsidRDefault="003A0725" w:rsidP="00570C0E">
            <w:pPr>
              <w:spacing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</w:rPr>
              <w:br w:type="page"/>
            </w: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Rappelons</w:t>
            </w:r>
            <w:r w:rsidR="00C51B7C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, par ailleurs</w:t>
            </w:r>
            <w:r w:rsidR="0005569E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, que</w:t>
            </w: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 :</w:t>
            </w:r>
          </w:p>
          <w:p w:rsidR="003A0725" w:rsidRPr="00490B1D" w:rsidRDefault="003A0725" w:rsidP="00570C0E">
            <w:pPr>
              <w:pStyle w:val="Paragraphedeliste"/>
              <w:numPr>
                <w:ilvl w:val="0"/>
                <w:numId w:val="1"/>
              </w:numPr>
              <w:spacing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les questions abordées sont qualitatives à 3 modalités (amélioratio</w:t>
            </w:r>
            <w:r w:rsidR="00D72CF7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n, stagnation et</w:t>
            </w: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détérioration). </w:t>
            </w:r>
            <w:r w:rsidR="0005569E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Les évolutions</w:t>
            </w: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se réfèrent à une période de 12 mois. Les résultats sont présentés sous </w:t>
            </w:r>
            <w:r w:rsidR="0005569E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forme de</w:t>
            </w: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soldes (différence entre les pourcentages des réponses « amélioration » </w:t>
            </w:r>
            <w:r w:rsidR="0005569E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et des</w:t>
            </w: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réponses «détérioration»). Le niveau des soldes n’est pas directement interprétable, c’est leur évolution qui est analysée. </w:t>
            </w:r>
          </w:p>
          <w:p w:rsidR="003A0725" w:rsidRPr="00490B1D" w:rsidRDefault="003A0725" w:rsidP="00570C0E">
            <w:pPr>
              <w:pStyle w:val="Paragraphedeliste"/>
              <w:numPr>
                <w:ilvl w:val="0"/>
                <w:numId w:val="1"/>
              </w:numPr>
              <w:spacing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L’Indice de Confiance des Ménages (ICM) est calculé sur la base de sept indicateurs, quatre relatifs à la situation générale et trois à la situation propre du ménage :</w:t>
            </w:r>
          </w:p>
          <w:p w:rsidR="003A0725" w:rsidRPr="00490B1D" w:rsidRDefault="0005569E" w:rsidP="00570C0E">
            <w:pPr>
              <w:pStyle w:val="Paragraphedeliste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évolution passée</w:t>
            </w:r>
            <w:r w:rsidR="003A0725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du niveau de vie ;</w:t>
            </w:r>
          </w:p>
          <w:p w:rsidR="003A0725" w:rsidRPr="00490B1D" w:rsidRDefault="003A0725" w:rsidP="00570C0E">
            <w:pPr>
              <w:pStyle w:val="Paragraphedeliste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perspective d'évolution du niveau de vie ;</w:t>
            </w:r>
          </w:p>
          <w:p w:rsidR="003A0725" w:rsidRPr="00490B1D" w:rsidRDefault="003A0725" w:rsidP="00570C0E">
            <w:pPr>
              <w:pStyle w:val="Paragraphedeliste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perspective d'évolution du nombre de chômeurs ;</w:t>
            </w:r>
          </w:p>
          <w:p w:rsidR="003A0725" w:rsidRPr="00490B1D" w:rsidRDefault="003A0725" w:rsidP="00570C0E">
            <w:pPr>
              <w:pStyle w:val="Paragraphedeliste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opportunité d'achat de biens </w:t>
            </w:r>
            <w:r w:rsidR="0005569E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durables ;</w:t>
            </w:r>
          </w:p>
          <w:p w:rsidR="003A0725" w:rsidRPr="00490B1D" w:rsidRDefault="003A0725" w:rsidP="00570C0E">
            <w:pPr>
              <w:pStyle w:val="Paragraphedeliste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situation financière actuelle des ménages ;</w:t>
            </w:r>
          </w:p>
          <w:p w:rsidR="003A0725" w:rsidRPr="00490B1D" w:rsidRDefault="0005569E" w:rsidP="00570C0E">
            <w:pPr>
              <w:pStyle w:val="Paragraphedeliste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évolution passée</w:t>
            </w:r>
            <w:r w:rsidR="003A0725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de la situation financière des ménages ;</w:t>
            </w:r>
          </w:p>
          <w:p w:rsidR="003A0725" w:rsidRPr="00490B1D" w:rsidRDefault="0005569E" w:rsidP="00570C0E">
            <w:pPr>
              <w:pStyle w:val="Paragraphedeliste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évolution future</w:t>
            </w:r>
            <w:r w:rsidR="003A0725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de la situation financière des ménages.</w:t>
            </w:r>
          </w:p>
          <w:p w:rsidR="003A0725" w:rsidRPr="00490B1D" w:rsidRDefault="003A0725" w:rsidP="00570C0E">
            <w:pPr>
              <w:pStyle w:val="Paragraphedeliste"/>
              <w:numPr>
                <w:ilvl w:val="0"/>
                <w:numId w:val="2"/>
              </w:numPr>
              <w:spacing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L’ICM est </w:t>
            </w:r>
            <w:r w:rsidR="0005569E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la moyenne</w:t>
            </w: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arithmétique simple </w:t>
            </w:r>
            <w:r w:rsidR="0005569E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des soldes</w:t>
            </w: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des 7 indicateurs, augmentée de 100, sa valeur varie ainsi de 0 à 200.</w:t>
            </w:r>
          </w:p>
          <w:p w:rsidR="003A0725" w:rsidRPr="00490B1D" w:rsidRDefault="003A0725" w:rsidP="00570C0E">
            <w:pPr>
              <w:pStyle w:val="Paragraphedeliste"/>
              <w:numPr>
                <w:ilvl w:val="0"/>
                <w:numId w:val="2"/>
              </w:numPr>
              <w:spacing w:line="36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Des tests statistiques de Fisher sur la série de l’indice de confiance des ménages</w:t>
            </w:r>
            <w:r w:rsidR="00B67B3D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durant</w:t>
            </w: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la période allant de 2008 à 201</w:t>
            </w:r>
            <w:r w:rsidR="00B67B3D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8</w:t>
            </w: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, ont confirmé l’absence des variations saisonnières stables et mobiles.</w:t>
            </w:r>
          </w:p>
          <w:p w:rsidR="003A0725" w:rsidRPr="00490B1D" w:rsidRDefault="003A0725" w:rsidP="00570C0E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Pour plus d’informations sur les aspects méthodologiques de cette enquête, consulter le site web du HCP </w:t>
            </w:r>
            <w:r w:rsidR="0005569E" w:rsidRPr="00490B1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au </w:t>
            </w:r>
            <w:hyperlink r:id="rId14" w:history="1">
              <w:r w:rsidRPr="00490B1D">
                <w:rPr>
                  <w:rStyle w:val="Lienhypertexte"/>
                  <w:rFonts w:asciiTheme="majorBidi" w:hAnsiTheme="majorBidi" w:cstheme="majorBidi"/>
                  <w:color w:val="000000" w:themeColor="text1"/>
                  <w:sz w:val="20"/>
                  <w:szCs w:val="20"/>
                </w:rPr>
                <w:t>www.hcp.ma</w:t>
              </w:r>
            </w:hyperlink>
          </w:p>
        </w:tc>
      </w:tr>
    </w:tbl>
    <w:p w:rsidR="001F5970" w:rsidRPr="00490B1D" w:rsidRDefault="001F5970" w:rsidP="00570C0E">
      <w:pPr>
        <w:spacing w:line="360" w:lineRule="auto"/>
        <w:rPr>
          <w:rFonts w:asciiTheme="majorBidi" w:hAnsiTheme="majorBidi" w:cstheme="majorBidi"/>
        </w:rPr>
      </w:pPr>
    </w:p>
    <w:p w:rsidR="001F5970" w:rsidRPr="00490B1D" w:rsidRDefault="001F5970" w:rsidP="00570C0E">
      <w:pPr>
        <w:spacing w:line="360" w:lineRule="auto"/>
        <w:ind w:left="-142"/>
        <w:rPr>
          <w:rFonts w:asciiTheme="majorBidi" w:hAnsiTheme="majorBidi" w:cstheme="majorBidi"/>
          <w:b/>
          <w:color w:val="000000" w:themeColor="text1"/>
          <w:sz w:val="28"/>
          <w:szCs w:val="28"/>
        </w:rPr>
        <w:sectPr w:rsidR="001F5970" w:rsidRPr="00490B1D" w:rsidSect="005B1014">
          <w:footerReference w:type="default" r:id="rId15"/>
          <w:pgSz w:w="11906" w:h="16838" w:code="9"/>
          <w:pgMar w:top="1134" w:right="720" w:bottom="720" w:left="1077" w:header="709" w:footer="709" w:gutter="0"/>
          <w:cols w:space="708"/>
          <w:docGrid w:linePitch="360"/>
        </w:sectPr>
      </w:pPr>
    </w:p>
    <w:p w:rsidR="00A718F2" w:rsidRDefault="00F80338" w:rsidP="00570C0E">
      <w:pPr>
        <w:spacing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2"/>
          <w:szCs w:val="22"/>
          <w:rtl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lastRenderedPageBreak/>
        <w:t>Evolution</w:t>
      </w:r>
      <w:r w:rsidR="005D5B33" w:rsidRPr="00490B1D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 de l’I</w:t>
      </w:r>
      <w:r w:rsidR="00C35BF2" w:rsidRPr="00490B1D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ndice de </w:t>
      </w:r>
      <w:r w:rsidR="005D5B33" w:rsidRPr="00490B1D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C</w:t>
      </w:r>
      <w:r w:rsidR="00C35BF2" w:rsidRPr="00490B1D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onfiance des </w:t>
      </w:r>
      <w:r w:rsidR="005D5B33" w:rsidRPr="00490B1D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M</w:t>
      </w:r>
      <w:r w:rsidR="00C35BF2" w:rsidRPr="00490B1D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énages  (ICM) </w:t>
      </w:r>
      <w:r w:rsidR="005D5B33" w:rsidRPr="00490B1D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et de ses composantes</w:t>
      </w:r>
    </w:p>
    <w:tbl>
      <w:tblPr>
        <w:tblW w:w="16601" w:type="dxa"/>
        <w:jc w:val="center"/>
        <w:tblInd w:w="-214" w:type="dxa"/>
        <w:tblCellMar>
          <w:left w:w="70" w:type="dxa"/>
          <w:right w:w="70" w:type="dxa"/>
        </w:tblCellMar>
        <w:tblLook w:val="04A0"/>
      </w:tblPr>
      <w:tblGrid>
        <w:gridCol w:w="129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5"/>
        <w:gridCol w:w="584"/>
        <w:gridCol w:w="584"/>
        <w:gridCol w:w="590"/>
        <w:gridCol w:w="669"/>
        <w:gridCol w:w="9"/>
      </w:tblGrid>
      <w:tr w:rsidR="008633F7" w:rsidTr="008633F7">
        <w:trPr>
          <w:gridAfter w:val="1"/>
          <w:wAfter w:w="9" w:type="dxa"/>
          <w:trHeight w:val="457"/>
          <w:jc w:val="center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T1/18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T2/18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T3/18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T4/18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T1/19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T2/19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T3/19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T4/19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T1/20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T2/20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T3/20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T4/20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T1/21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T2/21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T3/21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T4/21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T1/22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T2/22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T3/22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T4/22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T1/23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T2/23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T3/23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T4/23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T1/24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Default="008633F7" w:rsidP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 w:hint="cs"/>
                <w:b/>
                <w:bCs/>
                <w:color w:val="000000"/>
                <w:sz w:val="18"/>
                <w:szCs w:val="18"/>
                <w:rtl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/24</w:t>
            </w:r>
          </w:p>
        </w:tc>
      </w:tr>
      <w:tr w:rsidR="008633F7" w:rsidTr="008633F7">
        <w:trPr>
          <w:gridAfter w:val="1"/>
          <w:wAfter w:w="9" w:type="dxa"/>
          <w:trHeight w:val="503"/>
          <w:jc w:val="center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Indice de Confiance des Ménages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87,3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87,3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82,5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79,8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79,1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74,9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74,8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77,8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75,7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65,6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60,6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61,2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68,3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63,0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65,5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61,2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53,7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50,1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47,4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46,6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46,3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45,4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45,3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Pr="008633F7" w:rsidRDefault="008633F7" w:rsidP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 w:rsidRPr="008633F7"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46,1</w:t>
            </w:r>
          </w:p>
        </w:tc>
      </w:tr>
      <w:tr w:rsidR="008633F7" w:rsidTr="008633F7">
        <w:trPr>
          <w:gridAfter w:val="1"/>
          <w:wAfter w:w="9" w:type="dxa"/>
          <w:trHeight w:val="754"/>
          <w:jc w:val="center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Perspective d'évolution du nombre de chômeur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-76,9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-71,8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-71,6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-78,3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-62,2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-78,3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-81,1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-83,5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-79,6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-81,4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-80,4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-81,9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-80,3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Pr="008633F7" w:rsidRDefault="008633F7" w:rsidP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8633F7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-76,2</w:t>
            </w:r>
          </w:p>
        </w:tc>
      </w:tr>
      <w:tr w:rsidR="008633F7" w:rsidTr="008633F7">
        <w:trPr>
          <w:gridAfter w:val="1"/>
          <w:wAfter w:w="9" w:type="dxa"/>
          <w:trHeight w:val="503"/>
          <w:jc w:val="center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Evolution passée du niveau de vie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-13,3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-19,8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-35,6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-46,6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-50,5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-50,8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-41,5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-55,2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-73,0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-78,0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-81,5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-84,6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-81,5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-83,2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-78,1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Pr="008633F7" w:rsidRDefault="008633F7" w:rsidP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8633F7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-78,2</w:t>
            </w:r>
          </w:p>
        </w:tc>
      </w:tr>
      <w:tr w:rsidR="008633F7" w:rsidTr="008633F7">
        <w:trPr>
          <w:gridAfter w:val="1"/>
          <w:wAfter w:w="9" w:type="dxa"/>
          <w:trHeight w:val="754"/>
          <w:jc w:val="center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Perspective d'évolution du niveau de vie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16,6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-11,4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-21,4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-41,6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-43,0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-38,8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-43,7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-41,7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-49,0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-47,3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Pr="008633F7" w:rsidRDefault="008633F7" w:rsidP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8633F7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-46,1</w:t>
            </w:r>
          </w:p>
        </w:tc>
      </w:tr>
      <w:tr w:rsidR="008633F7" w:rsidTr="008633F7">
        <w:trPr>
          <w:gridAfter w:val="1"/>
          <w:wAfter w:w="9" w:type="dxa"/>
          <w:trHeight w:val="457"/>
          <w:jc w:val="center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Opportunité d'achat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-41,4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-37,7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-32,6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-63,5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-62,0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-62,8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-68,9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-71,5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-72,9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Pr="008633F7" w:rsidRDefault="008633F7" w:rsidP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8633F7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-69,4</w:t>
            </w:r>
          </w:p>
        </w:tc>
      </w:tr>
      <w:tr w:rsidR="008633F7" w:rsidTr="008633F7">
        <w:trPr>
          <w:gridAfter w:val="1"/>
          <w:wAfter w:w="9" w:type="dxa"/>
          <w:trHeight w:val="503"/>
          <w:jc w:val="center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Situation financière actuelle des ménages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-26,4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-31,5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-38,0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-43,4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-42,9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-42,1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-42,0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-41,4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 w:rsidP="00F93005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</w:t>
            </w:r>
            <w:r w:rsidR="00F93005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Pr="008633F7" w:rsidRDefault="008633F7" w:rsidP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8633F7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-40,0</w:t>
            </w:r>
          </w:p>
        </w:tc>
      </w:tr>
      <w:tr w:rsidR="008633F7" w:rsidTr="008633F7">
        <w:trPr>
          <w:gridAfter w:val="1"/>
          <w:wAfter w:w="9" w:type="dxa"/>
          <w:trHeight w:val="1008"/>
          <w:jc w:val="center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Evolution passée de la situation financière des ménages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-18,1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-18,2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-21,2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-26,0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-39,9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-47,4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-50,0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-48,0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-49,0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-50,9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-48,7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-47,7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-53,0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-57,2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-57,3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-53,3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-56,1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-52,7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Pr="008633F7" w:rsidRDefault="008633F7" w:rsidP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8633F7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-53,2</w:t>
            </w:r>
          </w:p>
        </w:tc>
      </w:tr>
      <w:tr w:rsidR="008633F7" w:rsidTr="008633F7">
        <w:trPr>
          <w:gridAfter w:val="1"/>
          <w:wAfter w:w="9" w:type="dxa"/>
          <w:trHeight w:val="1008"/>
          <w:jc w:val="center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Evolution future de la situation financière des ménages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25,9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19,1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18,3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12,8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-11,9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21,2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14,8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15,1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15,1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-0,1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-6,1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right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-10,6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-13,4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Pr="008633F7" w:rsidRDefault="008633F7" w:rsidP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8633F7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-13,9</w:t>
            </w:r>
          </w:p>
        </w:tc>
      </w:tr>
      <w:tr w:rsidR="008633F7" w:rsidTr="00D7317E">
        <w:trPr>
          <w:trHeight w:val="457"/>
          <w:jc w:val="center"/>
        </w:trPr>
        <w:tc>
          <w:tcPr>
            <w:tcW w:w="16601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22"/>
                <w:szCs w:val="22"/>
              </w:rPr>
              <w:t>Autres soldes</w:t>
            </w:r>
          </w:p>
        </w:tc>
      </w:tr>
      <w:tr w:rsidR="008633F7" w:rsidTr="008633F7">
        <w:trPr>
          <w:gridAfter w:val="1"/>
          <w:wAfter w:w="9" w:type="dxa"/>
          <w:trHeight w:val="754"/>
          <w:jc w:val="center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Evolution future des prix des produits alimentaires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-84,0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-83,3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-60,2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-76,3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-73,6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-71,8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-66,2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-77,6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-70,1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Pr="008633F7" w:rsidRDefault="008633F7" w:rsidP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8633F7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-79,1</w:t>
            </w:r>
          </w:p>
        </w:tc>
      </w:tr>
      <w:tr w:rsidR="008633F7" w:rsidTr="008633F7">
        <w:trPr>
          <w:gridAfter w:val="1"/>
          <w:wAfter w:w="9" w:type="dxa"/>
          <w:trHeight w:val="754"/>
          <w:jc w:val="center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Evolution passée des prix des produits alimentaires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-90,3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-83,7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-85,1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-95,9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-97,9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-99,1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-99,1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-98,8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-98,7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-98,0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-97,9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-97,4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-96,5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Pr="008633F7" w:rsidRDefault="008633F7" w:rsidP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8633F7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-96,0</w:t>
            </w:r>
          </w:p>
        </w:tc>
      </w:tr>
      <w:tr w:rsidR="008633F7" w:rsidTr="008633F7">
        <w:trPr>
          <w:gridAfter w:val="1"/>
          <w:wAfter w:w="9" w:type="dxa"/>
          <w:trHeight w:val="754"/>
          <w:jc w:val="center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Capacité à épargner des ménages dans les mois à venir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-57,9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-63,0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-62,9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-60,8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-72,2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-78,0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-76,1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-79,4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-80,4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-80,7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7" w:rsidRDefault="008633F7" w:rsidP="00F93005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-81,</w:t>
            </w:r>
            <w:r w:rsidR="00F93005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3F7" w:rsidRPr="008633F7" w:rsidRDefault="008633F7" w:rsidP="00F93005">
            <w:pPr>
              <w:widowControl/>
              <w:autoSpaceDE/>
              <w:adjustRightInd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8633F7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-80,</w:t>
            </w:r>
            <w:r w:rsidR="00F93005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</w:t>
            </w:r>
          </w:p>
        </w:tc>
      </w:tr>
    </w:tbl>
    <w:p w:rsidR="00DE6C85" w:rsidRPr="00490B1D" w:rsidRDefault="00DE6C85" w:rsidP="00570C0E">
      <w:pPr>
        <w:widowControl/>
        <w:tabs>
          <w:tab w:val="left" w:pos="709"/>
        </w:tabs>
        <w:spacing w:line="360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490B1D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A718F2" w:rsidRPr="00490B1D" w:rsidRDefault="00A718F2" w:rsidP="00570C0E">
      <w:pPr>
        <w:spacing w:line="360" w:lineRule="auto"/>
        <w:jc w:val="center"/>
        <w:rPr>
          <w:rFonts w:asciiTheme="majorBidi" w:hAnsiTheme="majorBidi" w:cstheme="majorBidi"/>
          <w:color w:val="000000" w:themeColor="text1"/>
          <w:sz w:val="16"/>
          <w:szCs w:val="16"/>
        </w:rPr>
      </w:pPr>
    </w:p>
    <w:sectPr w:rsidR="00A718F2" w:rsidRPr="00490B1D" w:rsidSect="00A71494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4ED" w:rsidRDefault="002054ED" w:rsidP="00460705">
      <w:r>
        <w:separator/>
      </w:r>
    </w:p>
  </w:endnote>
  <w:endnote w:type="continuationSeparator" w:id="0">
    <w:p w:rsidR="002054ED" w:rsidRDefault="002054ED" w:rsidP="00460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2132658"/>
      <w:docPartObj>
        <w:docPartGallery w:val="Page Numbers (Bottom of Page)"/>
        <w:docPartUnique/>
      </w:docPartObj>
    </w:sdtPr>
    <w:sdtContent>
      <w:p w:rsidR="007A748C" w:rsidRDefault="00AA298A">
        <w:pPr>
          <w:pStyle w:val="Pieddepage"/>
          <w:jc w:val="center"/>
        </w:pPr>
        <w:fldSimple w:instr=" PAGE   \* MERGEFORMAT ">
          <w:r w:rsidR="002414F3">
            <w:rPr>
              <w:noProof/>
            </w:rPr>
            <w:t>1</w:t>
          </w:r>
        </w:fldSimple>
      </w:p>
    </w:sdtContent>
  </w:sdt>
  <w:p w:rsidR="007A748C" w:rsidRDefault="007A748C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4ED" w:rsidRDefault="002054ED" w:rsidP="00460705">
      <w:r>
        <w:separator/>
      </w:r>
    </w:p>
  </w:footnote>
  <w:footnote w:type="continuationSeparator" w:id="0">
    <w:p w:rsidR="002054ED" w:rsidRDefault="002054ED" w:rsidP="004607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07A8E"/>
    <w:multiLevelType w:val="hybridMultilevel"/>
    <w:tmpl w:val="DEAAA6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02827"/>
    <w:multiLevelType w:val="hybridMultilevel"/>
    <w:tmpl w:val="651C7EFE"/>
    <w:lvl w:ilvl="0" w:tplc="B100CA10">
      <w:start w:val="3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08056781"/>
    <w:multiLevelType w:val="hybridMultilevel"/>
    <w:tmpl w:val="784EAA80"/>
    <w:lvl w:ilvl="0" w:tplc="6DD295CC">
      <w:start w:val="1"/>
      <w:numFmt w:val="decimal"/>
      <w:lvlText w:val="(%1)"/>
      <w:lvlJc w:val="left"/>
      <w:pPr>
        <w:ind w:left="720" w:hanging="360"/>
      </w:pPr>
      <w:rPr>
        <w:rFonts w:hint="default"/>
        <w:b/>
        <w:vertAlign w:val="superscrip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1432E"/>
    <w:multiLevelType w:val="hybridMultilevel"/>
    <w:tmpl w:val="0CEE6D0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A122E6"/>
    <w:multiLevelType w:val="hybridMultilevel"/>
    <w:tmpl w:val="826865B6"/>
    <w:lvl w:ilvl="0" w:tplc="0616EC8E">
      <w:numFmt w:val="bullet"/>
      <w:lvlText w:val="-"/>
      <w:lvlJc w:val="left"/>
      <w:pPr>
        <w:ind w:left="1080" w:hanging="360"/>
      </w:pPr>
      <w:rPr>
        <w:rFonts w:ascii="Book Antiqua" w:eastAsia="Calibri" w:hAnsi="Book Antiqua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932AC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032A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D51664"/>
    <w:multiLevelType w:val="hybridMultilevel"/>
    <w:tmpl w:val="23060486"/>
    <w:lvl w:ilvl="0" w:tplc="20AE1A2A">
      <w:start w:val="1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CC54CD3"/>
    <w:multiLevelType w:val="hybridMultilevel"/>
    <w:tmpl w:val="0EF07944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C3212"/>
    <w:multiLevelType w:val="hybridMultilevel"/>
    <w:tmpl w:val="0EB82B5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245C66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8527B"/>
    <w:multiLevelType w:val="multilevel"/>
    <w:tmpl w:val="61509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43E6100A"/>
    <w:multiLevelType w:val="hybridMultilevel"/>
    <w:tmpl w:val="F000AF92"/>
    <w:lvl w:ilvl="0" w:tplc="040C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>
    <w:nsid w:val="498D60E8"/>
    <w:multiLevelType w:val="hybridMultilevel"/>
    <w:tmpl w:val="E83A85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355FAE"/>
    <w:multiLevelType w:val="hybridMultilevel"/>
    <w:tmpl w:val="5A8C44D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2DB559E"/>
    <w:multiLevelType w:val="hybridMultilevel"/>
    <w:tmpl w:val="C6182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7D7E0F"/>
    <w:multiLevelType w:val="hybridMultilevel"/>
    <w:tmpl w:val="575CBA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D297B"/>
    <w:multiLevelType w:val="hybridMultilevel"/>
    <w:tmpl w:val="054A54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657841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2F3FE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BD7D01"/>
    <w:multiLevelType w:val="hybridMultilevel"/>
    <w:tmpl w:val="0E2043F8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4"/>
  </w:num>
  <w:num w:numId="4">
    <w:abstractNumId w:val="14"/>
  </w:num>
  <w:num w:numId="5">
    <w:abstractNumId w:val="11"/>
  </w:num>
  <w:num w:numId="6">
    <w:abstractNumId w:val="13"/>
  </w:num>
  <w:num w:numId="7">
    <w:abstractNumId w:val="0"/>
  </w:num>
  <w:num w:numId="8">
    <w:abstractNumId w:val="9"/>
  </w:num>
  <w:num w:numId="9">
    <w:abstractNumId w:val="18"/>
  </w:num>
  <w:num w:numId="10">
    <w:abstractNumId w:val="8"/>
  </w:num>
  <w:num w:numId="11">
    <w:abstractNumId w:val="20"/>
  </w:num>
  <w:num w:numId="12">
    <w:abstractNumId w:val="1"/>
  </w:num>
  <w:num w:numId="13">
    <w:abstractNumId w:val="19"/>
  </w:num>
  <w:num w:numId="14">
    <w:abstractNumId w:val="10"/>
  </w:num>
  <w:num w:numId="15">
    <w:abstractNumId w:val="6"/>
  </w:num>
  <w:num w:numId="16">
    <w:abstractNumId w:val="3"/>
  </w:num>
  <w:num w:numId="17">
    <w:abstractNumId w:val="17"/>
  </w:num>
  <w:num w:numId="18">
    <w:abstractNumId w:val="16"/>
  </w:num>
  <w:num w:numId="19">
    <w:abstractNumId w:val="7"/>
  </w:num>
  <w:num w:numId="20">
    <w:abstractNumId w:val="2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2704"/>
    <w:rsid w:val="000013E4"/>
    <w:rsid w:val="00001624"/>
    <w:rsid w:val="000016A1"/>
    <w:rsid w:val="000023E0"/>
    <w:rsid w:val="00002F9B"/>
    <w:rsid w:val="00003F54"/>
    <w:rsid w:val="00004B1E"/>
    <w:rsid w:val="00005381"/>
    <w:rsid w:val="00005AAD"/>
    <w:rsid w:val="000060F8"/>
    <w:rsid w:val="000069AE"/>
    <w:rsid w:val="0000713A"/>
    <w:rsid w:val="000100F3"/>
    <w:rsid w:val="00011A0E"/>
    <w:rsid w:val="00011BC4"/>
    <w:rsid w:val="00011F4E"/>
    <w:rsid w:val="00012F82"/>
    <w:rsid w:val="00013016"/>
    <w:rsid w:val="00013329"/>
    <w:rsid w:val="00014530"/>
    <w:rsid w:val="00014940"/>
    <w:rsid w:val="00014F59"/>
    <w:rsid w:val="00015112"/>
    <w:rsid w:val="000151DD"/>
    <w:rsid w:val="00015EF3"/>
    <w:rsid w:val="00016F90"/>
    <w:rsid w:val="0001722E"/>
    <w:rsid w:val="000174FE"/>
    <w:rsid w:val="00017526"/>
    <w:rsid w:val="0001754D"/>
    <w:rsid w:val="000213FC"/>
    <w:rsid w:val="00022644"/>
    <w:rsid w:val="00023DE5"/>
    <w:rsid w:val="00024686"/>
    <w:rsid w:val="00024B04"/>
    <w:rsid w:val="0002532B"/>
    <w:rsid w:val="00025CE4"/>
    <w:rsid w:val="00025F15"/>
    <w:rsid w:val="000265CF"/>
    <w:rsid w:val="00027300"/>
    <w:rsid w:val="000274C4"/>
    <w:rsid w:val="000315FD"/>
    <w:rsid w:val="00031CFB"/>
    <w:rsid w:val="000321D6"/>
    <w:rsid w:val="000324B4"/>
    <w:rsid w:val="00032619"/>
    <w:rsid w:val="00032AF9"/>
    <w:rsid w:val="00032ECD"/>
    <w:rsid w:val="00034F42"/>
    <w:rsid w:val="00035053"/>
    <w:rsid w:val="000356C1"/>
    <w:rsid w:val="00035819"/>
    <w:rsid w:val="000360E1"/>
    <w:rsid w:val="000364EF"/>
    <w:rsid w:val="00036F7C"/>
    <w:rsid w:val="0003703D"/>
    <w:rsid w:val="000370B6"/>
    <w:rsid w:val="00037ABF"/>
    <w:rsid w:val="00041428"/>
    <w:rsid w:val="0004211E"/>
    <w:rsid w:val="00042157"/>
    <w:rsid w:val="00043430"/>
    <w:rsid w:val="0004437F"/>
    <w:rsid w:val="00044E75"/>
    <w:rsid w:val="000451AC"/>
    <w:rsid w:val="00045674"/>
    <w:rsid w:val="00046C56"/>
    <w:rsid w:val="00046EB3"/>
    <w:rsid w:val="00047148"/>
    <w:rsid w:val="00047B2B"/>
    <w:rsid w:val="00050145"/>
    <w:rsid w:val="00050460"/>
    <w:rsid w:val="00051534"/>
    <w:rsid w:val="000518A6"/>
    <w:rsid w:val="00051A04"/>
    <w:rsid w:val="00051B80"/>
    <w:rsid w:val="00052C8E"/>
    <w:rsid w:val="0005319E"/>
    <w:rsid w:val="0005351F"/>
    <w:rsid w:val="0005355A"/>
    <w:rsid w:val="0005413E"/>
    <w:rsid w:val="0005434C"/>
    <w:rsid w:val="0005569E"/>
    <w:rsid w:val="00055B18"/>
    <w:rsid w:val="0005628D"/>
    <w:rsid w:val="000569E9"/>
    <w:rsid w:val="00056C34"/>
    <w:rsid w:val="00056F4A"/>
    <w:rsid w:val="0005706F"/>
    <w:rsid w:val="00057262"/>
    <w:rsid w:val="00057BC7"/>
    <w:rsid w:val="00057E1A"/>
    <w:rsid w:val="00061CA4"/>
    <w:rsid w:val="00062779"/>
    <w:rsid w:val="00063B1B"/>
    <w:rsid w:val="00063B3F"/>
    <w:rsid w:val="00064021"/>
    <w:rsid w:val="00064654"/>
    <w:rsid w:val="000646B0"/>
    <w:rsid w:val="00064BB5"/>
    <w:rsid w:val="000656CB"/>
    <w:rsid w:val="00065DD7"/>
    <w:rsid w:val="00066ADF"/>
    <w:rsid w:val="00066E22"/>
    <w:rsid w:val="00067347"/>
    <w:rsid w:val="00067D35"/>
    <w:rsid w:val="00070565"/>
    <w:rsid w:val="000706EE"/>
    <w:rsid w:val="000712A9"/>
    <w:rsid w:val="000718BD"/>
    <w:rsid w:val="000720FD"/>
    <w:rsid w:val="00072708"/>
    <w:rsid w:val="00072AB7"/>
    <w:rsid w:val="00072CF2"/>
    <w:rsid w:val="00072EEA"/>
    <w:rsid w:val="00072F7C"/>
    <w:rsid w:val="00073079"/>
    <w:rsid w:val="00073C23"/>
    <w:rsid w:val="000741D5"/>
    <w:rsid w:val="000748D8"/>
    <w:rsid w:val="000749D1"/>
    <w:rsid w:val="00074CB4"/>
    <w:rsid w:val="000753A8"/>
    <w:rsid w:val="000756A1"/>
    <w:rsid w:val="00076938"/>
    <w:rsid w:val="00076F92"/>
    <w:rsid w:val="000779C2"/>
    <w:rsid w:val="00077CAA"/>
    <w:rsid w:val="00081434"/>
    <w:rsid w:val="00081E5A"/>
    <w:rsid w:val="0008224D"/>
    <w:rsid w:val="00082D2E"/>
    <w:rsid w:val="000836A6"/>
    <w:rsid w:val="000838BF"/>
    <w:rsid w:val="000839B9"/>
    <w:rsid w:val="0008574A"/>
    <w:rsid w:val="00086CD2"/>
    <w:rsid w:val="000877E9"/>
    <w:rsid w:val="0008783E"/>
    <w:rsid w:val="00087DA2"/>
    <w:rsid w:val="000909E5"/>
    <w:rsid w:val="00090FCF"/>
    <w:rsid w:val="00090FEC"/>
    <w:rsid w:val="00091D64"/>
    <w:rsid w:val="00091E28"/>
    <w:rsid w:val="00091FB9"/>
    <w:rsid w:val="00092DFB"/>
    <w:rsid w:val="00093A83"/>
    <w:rsid w:val="00093D84"/>
    <w:rsid w:val="00094BEF"/>
    <w:rsid w:val="00097300"/>
    <w:rsid w:val="00097799"/>
    <w:rsid w:val="0009797C"/>
    <w:rsid w:val="00097D75"/>
    <w:rsid w:val="000A0177"/>
    <w:rsid w:val="000A07A7"/>
    <w:rsid w:val="000A0881"/>
    <w:rsid w:val="000A11C5"/>
    <w:rsid w:val="000A14AD"/>
    <w:rsid w:val="000A158A"/>
    <w:rsid w:val="000A18FB"/>
    <w:rsid w:val="000A1DEA"/>
    <w:rsid w:val="000A20DC"/>
    <w:rsid w:val="000A26E7"/>
    <w:rsid w:val="000A27F7"/>
    <w:rsid w:val="000A2DA9"/>
    <w:rsid w:val="000A2E97"/>
    <w:rsid w:val="000A33DF"/>
    <w:rsid w:val="000A40C3"/>
    <w:rsid w:val="000A5682"/>
    <w:rsid w:val="000A5C5F"/>
    <w:rsid w:val="000A5F4A"/>
    <w:rsid w:val="000A6135"/>
    <w:rsid w:val="000A62F9"/>
    <w:rsid w:val="000B0844"/>
    <w:rsid w:val="000B09BA"/>
    <w:rsid w:val="000B0E7A"/>
    <w:rsid w:val="000B1487"/>
    <w:rsid w:val="000B16D1"/>
    <w:rsid w:val="000B2067"/>
    <w:rsid w:val="000B2FFE"/>
    <w:rsid w:val="000B34E3"/>
    <w:rsid w:val="000B4FE0"/>
    <w:rsid w:val="000B552C"/>
    <w:rsid w:val="000B62B1"/>
    <w:rsid w:val="000C0C01"/>
    <w:rsid w:val="000C1464"/>
    <w:rsid w:val="000C2CA9"/>
    <w:rsid w:val="000C3718"/>
    <w:rsid w:val="000C39F9"/>
    <w:rsid w:val="000C439F"/>
    <w:rsid w:val="000C4C0E"/>
    <w:rsid w:val="000C56EA"/>
    <w:rsid w:val="000C689C"/>
    <w:rsid w:val="000C7F17"/>
    <w:rsid w:val="000D1CF5"/>
    <w:rsid w:val="000D24FA"/>
    <w:rsid w:val="000D2586"/>
    <w:rsid w:val="000D286E"/>
    <w:rsid w:val="000D2E52"/>
    <w:rsid w:val="000D341B"/>
    <w:rsid w:val="000D367A"/>
    <w:rsid w:val="000D3B30"/>
    <w:rsid w:val="000D4077"/>
    <w:rsid w:val="000D4920"/>
    <w:rsid w:val="000D54E1"/>
    <w:rsid w:val="000D5638"/>
    <w:rsid w:val="000D5AB2"/>
    <w:rsid w:val="000D5B0A"/>
    <w:rsid w:val="000D5CEB"/>
    <w:rsid w:val="000E0128"/>
    <w:rsid w:val="000E030A"/>
    <w:rsid w:val="000E10E0"/>
    <w:rsid w:val="000E1534"/>
    <w:rsid w:val="000E17D9"/>
    <w:rsid w:val="000E1BEE"/>
    <w:rsid w:val="000E20BC"/>
    <w:rsid w:val="000E21A1"/>
    <w:rsid w:val="000E3747"/>
    <w:rsid w:val="000E4DC7"/>
    <w:rsid w:val="000E5EA9"/>
    <w:rsid w:val="000E6EB3"/>
    <w:rsid w:val="000E71C8"/>
    <w:rsid w:val="000F0919"/>
    <w:rsid w:val="000F0DB1"/>
    <w:rsid w:val="000F184A"/>
    <w:rsid w:val="000F2945"/>
    <w:rsid w:val="000F2B60"/>
    <w:rsid w:val="000F2E6E"/>
    <w:rsid w:val="000F5139"/>
    <w:rsid w:val="000F5A2E"/>
    <w:rsid w:val="000F62E1"/>
    <w:rsid w:val="000F641A"/>
    <w:rsid w:val="000F6CE8"/>
    <w:rsid w:val="000F70E8"/>
    <w:rsid w:val="000F74C5"/>
    <w:rsid w:val="000F7670"/>
    <w:rsid w:val="000F7A57"/>
    <w:rsid w:val="000F7C4F"/>
    <w:rsid w:val="00100026"/>
    <w:rsid w:val="0010025C"/>
    <w:rsid w:val="00101249"/>
    <w:rsid w:val="00101DA7"/>
    <w:rsid w:val="00101DD8"/>
    <w:rsid w:val="00102B5C"/>
    <w:rsid w:val="00103010"/>
    <w:rsid w:val="001037B3"/>
    <w:rsid w:val="00104221"/>
    <w:rsid w:val="00104438"/>
    <w:rsid w:val="00104463"/>
    <w:rsid w:val="00104CAC"/>
    <w:rsid w:val="00104D05"/>
    <w:rsid w:val="001052BE"/>
    <w:rsid w:val="001052EC"/>
    <w:rsid w:val="00105320"/>
    <w:rsid w:val="00105B72"/>
    <w:rsid w:val="00106C84"/>
    <w:rsid w:val="00106E19"/>
    <w:rsid w:val="00106EC0"/>
    <w:rsid w:val="00106FA4"/>
    <w:rsid w:val="00107245"/>
    <w:rsid w:val="00107534"/>
    <w:rsid w:val="00107E17"/>
    <w:rsid w:val="00107F1E"/>
    <w:rsid w:val="001103D0"/>
    <w:rsid w:val="00110B90"/>
    <w:rsid w:val="00110BE5"/>
    <w:rsid w:val="00111470"/>
    <w:rsid w:val="001116C8"/>
    <w:rsid w:val="00111FC4"/>
    <w:rsid w:val="00113273"/>
    <w:rsid w:val="001133D2"/>
    <w:rsid w:val="00113767"/>
    <w:rsid w:val="00114063"/>
    <w:rsid w:val="001143FE"/>
    <w:rsid w:val="0011495F"/>
    <w:rsid w:val="00115D48"/>
    <w:rsid w:val="001161C4"/>
    <w:rsid w:val="001161F3"/>
    <w:rsid w:val="001167F5"/>
    <w:rsid w:val="00116945"/>
    <w:rsid w:val="0011726A"/>
    <w:rsid w:val="001174FE"/>
    <w:rsid w:val="00117A2F"/>
    <w:rsid w:val="00117F82"/>
    <w:rsid w:val="00120997"/>
    <w:rsid w:val="00121180"/>
    <w:rsid w:val="00121CCC"/>
    <w:rsid w:val="001222E7"/>
    <w:rsid w:val="00122941"/>
    <w:rsid w:val="00123DEA"/>
    <w:rsid w:val="00123E79"/>
    <w:rsid w:val="00124002"/>
    <w:rsid w:val="001242C0"/>
    <w:rsid w:val="00124772"/>
    <w:rsid w:val="00124827"/>
    <w:rsid w:val="00124FE0"/>
    <w:rsid w:val="00125161"/>
    <w:rsid w:val="001254E5"/>
    <w:rsid w:val="00125543"/>
    <w:rsid w:val="00126B26"/>
    <w:rsid w:val="00126CC0"/>
    <w:rsid w:val="00126DA5"/>
    <w:rsid w:val="00126E55"/>
    <w:rsid w:val="0012794C"/>
    <w:rsid w:val="00127D67"/>
    <w:rsid w:val="00131E2D"/>
    <w:rsid w:val="001328D0"/>
    <w:rsid w:val="00132D9E"/>
    <w:rsid w:val="00133286"/>
    <w:rsid w:val="0013347C"/>
    <w:rsid w:val="001335BA"/>
    <w:rsid w:val="00133687"/>
    <w:rsid w:val="00133860"/>
    <w:rsid w:val="00133A39"/>
    <w:rsid w:val="001347D2"/>
    <w:rsid w:val="00135445"/>
    <w:rsid w:val="00135D83"/>
    <w:rsid w:val="0013654E"/>
    <w:rsid w:val="00137D7D"/>
    <w:rsid w:val="001404A9"/>
    <w:rsid w:val="001414F3"/>
    <w:rsid w:val="001424D2"/>
    <w:rsid w:val="0014379B"/>
    <w:rsid w:val="001438AB"/>
    <w:rsid w:val="0014398F"/>
    <w:rsid w:val="00143A5A"/>
    <w:rsid w:val="00143EEC"/>
    <w:rsid w:val="00144320"/>
    <w:rsid w:val="00145956"/>
    <w:rsid w:val="001467F7"/>
    <w:rsid w:val="00146EDA"/>
    <w:rsid w:val="0014733D"/>
    <w:rsid w:val="00147786"/>
    <w:rsid w:val="00150681"/>
    <w:rsid w:val="00151AE6"/>
    <w:rsid w:val="00151C70"/>
    <w:rsid w:val="0015212E"/>
    <w:rsid w:val="001523D7"/>
    <w:rsid w:val="00152D59"/>
    <w:rsid w:val="00153ECF"/>
    <w:rsid w:val="00154298"/>
    <w:rsid w:val="00154339"/>
    <w:rsid w:val="001545AE"/>
    <w:rsid w:val="00154E44"/>
    <w:rsid w:val="00156587"/>
    <w:rsid w:val="0015763C"/>
    <w:rsid w:val="00157CA9"/>
    <w:rsid w:val="0016005A"/>
    <w:rsid w:val="00160141"/>
    <w:rsid w:val="0016090E"/>
    <w:rsid w:val="00160994"/>
    <w:rsid w:val="00161429"/>
    <w:rsid w:val="00161772"/>
    <w:rsid w:val="00161C4B"/>
    <w:rsid w:val="00162062"/>
    <w:rsid w:val="001638CE"/>
    <w:rsid w:val="00163D93"/>
    <w:rsid w:val="0016405E"/>
    <w:rsid w:val="001643DF"/>
    <w:rsid w:val="001648E6"/>
    <w:rsid w:val="00164979"/>
    <w:rsid w:val="00165671"/>
    <w:rsid w:val="0016596E"/>
    <w:rsid w:val="001672BD"/>
    <w:rsid w:val="0016780D"/>
    <w:rsid w:val="00172005"/>
    <w:rsid w:val="00172D27"/>
    <w:rsid w:val="00172EE9"/>
    <w:rsid w:val="00172F47"/>
    <w:rsid w:val="00173781"/>
    <w:rsid w:val="00174115"/>
    <w:rsid w:val="00174542"/>
    <w:rsid w:val="00174553"/>
    <w:rsid w:val="001748E9"/>
    <w:rsid w:val="0017495A"/>
    <w:rsid w:val="0017568F"/>
    <w:rsid w:val="001757C5"/>
    <w:rsid w:val="001760CB"/>
    <w:rsid w:val="00181B72"/>
    <w:rsid w:val="00182987"/>
    <w:rsid w:val="001829B0"/>
    <w:rsid w:val="00182A70"/>
    <w:rsid w:val="00182B28"/>
    <w:rsid w:val="00182E1E"/>
    <w:rsid w:val="00184023"/>
    <w:rsid w:val="00184134"/>
    <w:rsid w:val="00184250"/>
    <w:rsid w:val="00184D27"/>
    <w:rsid w:val="00185207"/>
    <w:rsid w:val="00185ABC"/>
    <w:rsid w:val="001864E5"/>
    <w:rsid w:val="00186530"/>
    <w:rsid w:val="001871C4"/>
    <w:rsid w:val="00187A5C"/>
    <w:rsid w:val="00187C8D"/>
    <w:rsid w:val="00187EB7"/>
    <w:rsid w:val="00190672"/>
    <w:rsid w:val="00191E08"/>
    <w:rsid w:val="00191F62"/>
    <w:rsid w:val="001930B7"/>
    <w:rsid w:val="00193B35"/>
    <w:rsid w:val="00193B4D"/>
    <w:rsid w:val="00193E60"/>
    <w:rsid w:val="0019435A"/>
    <w:rsid w:val="0019492E"/>
    <w:rsid w:val="001956DC"/>
    <w:rsid w:val="00195D2E"/>
    <w:rsid w:val="001960E9"/>
    <w:rsid w:val="001968E2"/>
    <w:rsid w:val="00196B6B"/>
    <w:rsid w:val="00196D8E"/>
    <w:rsid w:val="00196DF3"/>
    <w:rsid w:val="001975D4"/>
    <w:rsid w:val="00197D9A"/>
    <w:rsid w:val="00197F64"/>
    <w:rsid w:val="001A0310"/>
    <w:rsid w:val="001A048A"/>
    <w:rsid w:val="001A0F65"/>
    <w:rsid w:val="001A2204"/>
    <w:rsid w:val="001A288D"/>
    <w:rsid w:val="001A292A"/>
    <w:rsid w:val="001A384F"/>
    <w:rsid w:val="001A4203"/>
    <w:rsid w:val="001A4BB7"/>
    <w:rsid w:val="001A55DD"/>
    <w:rsid w:val="001A6084"/>
    <w:rsid w:val="001A62A1"/>
    <w:rsid w:val="001A648B"/>
    <w:rsid w:val="001A69DD"/>
    <w:rsid w:val="001A6BB6"/>
    <w:rsid w:val="001A7746"/>
    <w:rsid w:val="001B03D3"/>
    <w:rsid w:val="001B06F9"/>
    <w:rsid w:val="001B0AB6"/>
    <w:rsid w:val="001B1130"/>
    <w:rsid w:val="001B1C9F"/>
    <w:rsid w:val="001B1E0E"/>
    <w:rsid w:val="001B20D5"/>
    <w:rsid w:val="001B2334"/>
    <w:rsid w:val="001B3593"/>
    <w:rsid w:val="001B35E9"/>
    <w:rsid w:val="001B3707"/>
    <w:rsid w:val="001B3CB2"/>
    <w:rsid w:val="001B3E46"/>
    <w:rsid w:val="001B50A1"/>
    <w:rsid w:val="001B561B"/>
    <w:rsid w:val="001B5B96"/>
    <w:rsid w:val="001B5F02"/>
    <w:rsid w:val="001B69A3"/>
    <w:rsid w:val="001B7322"/>
    <w:rsid w:val="001B765A"/>
    <w:rsid w:val="001B7854"/>
    <w:rsid w:val="001C0839"/>
    <w:rsid w:val="001C14A6"/>
    <w:rsid w:val="001C251F"/>
    <w:rsid w:val="001C3419"/>
    <w:rsid w:val="001C4759"/>
    <w:rsid w:val="001C4D54"/>
    <w:rsid w:val="001C5656"/>
    <w:rsid w:val="001C5AA4"/>
    <w:rsid w:val="001C67D4"/>
    <w:rsid w:val="001C6846"/>
    <w:rsid w:val="001C6883"/>
    <w:rsid w:val="001D02E1"/>
    <w:rsid w:val="001D0903"/>
    <w:rsid w:val="001D0C73"/>
    <w:rsid w:val="001D17AC"/>
    <w:rsid w:val="001D2665"/>
    <w:rsid w:val="001D28DC"/>
    <w:rsid w:val="001D2B80"/>
    <w:rsid w:val="001D2D35"/>
    <w:rsid w:val="001D2E4E"/>
    <w:rsid w:val="001D3A1D"/>
    <w:rsid w:val="001D45E2"/>
    <w:rsid w:val="001D49E8"/>
    <w:rsid w:val="001D5548"/>
    <w:rsid w:val="001D55A9"/>
    <w:rsid w:val="001D58BD"/>
    <w:rsid w:val="001D684C"/>
    <w:rsid w:val="001D709D"/>
    <w:rsid w:val="001E0A9C"/>
    <w:rsid w:val="001E0D0B"/>
    <w:rsid w:val="001E1149"/>
    <w:rsid w:val="001E1901"/>
    <w:rsid w:val="001E36D5"/>
    <w:rsid w:val="001E42CC"/>
    <w:rsid w:val="001E4F55"/>
    <w:rsid w:val="001E5372"/>
    <w:rsid w:val="001E5697"/>
    <w:rsid w:val="001E6198"/>
    <w:rsid w:val="001E78BD"/>
    <w:rsid w:val="001F00F0"/>
    <w:rsid w:val="001F04DE"/>
    <w:rsid w:val="001F062E"/>
    <w:rsid w:val="001F0ABF"/>
    <w:rsid w:val="001F14B0"/>
    <w:rsid w:val="001F20AF"/>
    <w:rsid w:val="001F2626"/>
    <w:rsid w:val="001F321B"/>
    <w:rsid w:val="001F3646"/>
    <w:rsid w:val="001F3E68"/>
    <w:rsid w:val="001F4A3E"/>
    <w:rsid w:val="001F4E50"/>
    <w:rsid w:val="001F4FE4"/>
    <w:rsid w:val="001F5722"/>
    <w:rsid w:val="001F5970"/>
    <w:rsid w:val="001F59E2"/>
    <w:rsid w:val="001F5D34"/>
    <w:rsid w:val="001F626D"/>
    <w:rsid w:val="001F66E3"/>
    <w:rsid w:val="001F6A20"/>
    <w:rsid w:val="001F6A9C"/>
    <w:rsid w:val="001F70B6"/>
    <w:rsid w:val="001F739C"/>
    <w:rsid w:val="001F7711"/>
    <w:rsid w:val="001F7D34"/>
    <w:rsid w:val="00200755"/>
    <w:rsid w:val="002021DE"/>
    <w:rsid w:val="00203316"/>
    <w:rsid w:val="0020419A"/>
    <w:rsid w:val="002041E9"/>
    <w:rsid w:val="00204574"/>
    <w:rsid w:val="00204F32"/>
    <w:rsid w:val="00204F5F"/>
    <w:rsid w:val="0020508E"/>
    <w:rsid w:val="002054ED"/>
    <w:rsid w:val="00206A7F"/>
    <w:rsid w:val="0020711A"/>
    <w:rsid w:val="00207730"/>
    <w:rsid w:val="0021180E"/>
    <w:rsid w:val="00211ECD"/>
    <w:rsid w:val="0021213E"/>
    <w:rsid w:val="00212223"/>
    <w:rsid w:val="002125D5"/>
    <w:rsid w:val="00212714"/>
    <w:rsid w:val="00212E56"/>
    <w:rsid w:val="00213786"/>
    <w:rsid w:val="00213EC2"/>
    <w:rsid w:val="00214439"/>
    <w:rsid w:val="00214D50"/>
    <w:rsid w:val="002163AF"/>
    <w:rsid w:val="002164DC"/>
    <w:rsid w:val="002166B3"/>
    <w:rsid w:val="00216E7C"/>
    <w:rsid w:val="00217334"/>
    <w:rsid w:val="0021759B"/>
    <w:rsid w:val="00221FC5"/>
    <w:rsid w:val="00222682"/>
    <w:rsid w:val="002226A1"/>
    <w:rsid w:val="00222815"/>
    <w:rsid w:val="00222831"/>
    <w:rsid w:val="00223178"/>
    <w:rsid w:val="0022318C"/>
    <w:rsid w:val="00223808"/>
    <w:rsid w:val="0022467F"/>
    <w:rsid w:val="00225685"/>
    <w:rsid w:val="00226A52"/>
    <w:rsid w:val="00226BE3"/>
    <w:rsid w:val="00226CEA"/>
    <w:rsid w:val="00227B1B"/>
    <w:rsid w:val="0023094A"/>
    <w:rsid w:val="00231324"/>
    <w:rsid w:val="00232556"/>
    <w:rsid w:val="00232AF5"/>
    <w:rsid w:val="00232B71"/>
    <w:rsid w:val="00233531"/>
    <w:rsid w:val="00234907"/>
    <w:rsid w:val="00235C3E"/>
    <w:rsid w:val="002364B4"/>
    <w:rsid w:val="0023661B"/>
    <w:rsid w:val="00236927"/>
    <w:rsid w:val="002375C4"/>
    <w:rsid w:val="0024028E"/>
    <w:rsid w:val="002414F3"/>
    <w:rsid w:val="00241A46"/>
    <w:rsid w:val="002431B9"/>
    <w:rsid w:val="002436BE"/>
    <w:rsid w:val="00243AE1"/>
    <w:rsid w:val="00243C83"/>
    <w:rsid w:val="00245732"/>
    <w:rsid w:val="00245913"/>
    <w:rsid w:val="00245992"/>
    <w:rsid w:val="00246518"/>
    <w:rsid w:val="002478EF"/>
    <w:rsid w:val="00247A3B"/>
    <w:rsid w:val="002502C2"/>
    <w:rsid w:val="00251ABE"/>
    <w:rsid w:val="0025208F"/>
    <w:rsid w:val="0025259C"/>
    <w:rsid w:val="00252BB9"/>
    <w:rsid w:val="0025312C"/>
    <w:rsid w:val="00253166"/>
    <w:rsid w:val="002534E9"/>
    <w:rsid w:val="00253610"/>
    <w:rsid w:val="00253D9F"/>
    <w:rsid w:val="00254965"/>
    <w:rsid w:val="00254CC9"/>
    <w:rsid w:val="00254D8A"/>
    <w:rsid w:val="00255396"/>
    <w:rsid w:val="00256232"/>
    <w:rsid w:val="00256A6D"/>
    <w:rsid w:val="00256C03"/>
    <w:rsid w:val="00256F31"/>
    <w:rsid w:val="00256FBC"/>
    <w:rsid w:val="00256FCD"/>
    <w:rsid w:val="00257385"/>
    <w:rsid w:val="00260173"/>
    <w:rsid w:val="00260D98"/>
    <w:rsid w:val="002613C1"/>
    <w:rsid w:val="002613F5"/>
    <w:rsid w:val="0026141F"/>
    <w:rsid w:val="00261ED7"/>
    <w:rsid w:val="002620C4"/>
    <w:rsid w:val="00262122"/>
    <w:rsid w:val="00262237"/>
    <w:rsid w:val="0026337D"/>
    <w:rsid w:val="002634E1"/>
    <w:rsid w:val="002636A0"/>
    <w:rsid w:val="00263D54"/>
    <w:rsid w:val="0026440A"/>
    <w:rsid w:val="00264457"/>
    <w:rsid w:val="00265566"/>
    <w:rsid w:val="00265CFD"/>
    <w:rsid w:val="00265F28"/>
    <w:rsid w:val="00266110"/>
    <w:rsid w:val="00266330"/>
    <w:rsid w:val="00266633"/>
    <w:rsid w:val="00267202"/>
    <w:rsid w:val="00267298"/>
    <w:rsid w:val="002672A0"/>
    <w:rsid w:val="0026748C"/>
    <w:rsid w:val="00267B6E"/>
    <w:rsid w:val="00267DAE"/>
    <w:rsid w:val="00270823"/>
    <w:rsid w:val="00270AD9"/>
    <w:rsid w:val="00270B31"/>
    <w:rsid w:val="00271743"/>
    <w:rsid w:val="00271D22"/>
    <w:rsid w:val="0027263B"/>
    <w:rsid w:val="00272727"/>
    <w:rsid w:val="00272D28"/>
    <w:rsid w:val="0027471B"/>
    <w:rsid w:val="002751C2"/>
    <w:rsid w:val="00275256"/>
    <w:rsid w:val="00276077"/>
    <w:rsid w:val="00277499"/>
    <w:rsid w:val="002775FC"/>
    <w:rsid w:val="00280072"/>
    <w:rsid w:val="0028098C"/>
    <w:rsid w:val="00281D6D"/>
    <w:rsid w:val="002821C5"/>
    <w:rsid w:val="0028239A"/>
    <w:rsid w:val="00282A92"/>
    <w:rsid w:val="002830E2"/>
    <w:rsid w:val="002836F5"/>
    <w:rsid w:val="00283A6B"/>
    <w:rsid w:val="00283FD0"/>
    <w:rsid w:val="0028485A"/>
    <w:rsid w:val="0028651B"/>
    <w:rsid w:val="00287AFB"/>
    <w:rsid w:val="00287EC1"/>
    <w:rsid w:val="00290113"/>
    <w:rsid w:val="002904C7"/>
    <w:rsid w:val="002915B7"/>
    <w:rsid w:val="00291C4B"/>
    <w:rsid w:val="00292082"/>
    <w:rsid w:val="0029227A"/>
    <w:rsid w:val="00292381"/>
    <w:rsid w:val="00292CDC"/>
    <w:rsid w:val="00293863"/>
    <w:rsid w:val="002941A3"/>
    <w:rsid w:val="00294426"/>
    <w:rsid w:val="00295A6D"/>
    <w:rsid w:val="00295DF0"/>
    <w:rsid w:val="00296645"/>
    <w:rsid w:val="00296E08"/>
    <w:rsid w:val="00297250"/>
    <w:rsid w:val="00297C0B"/>
    <w:rsid w:val="002A0DFB"/>
    <w:rsid w:val="002A0E3C"/>
    <w:rsid w:val="002A1005"/>
    <w:rsid w:val="002A1529"/>
    <w:rsid w:val="002A1584"/>
    <w:rsid w:val="002A18ED"/>
    <w:rsid w:val="002A1C56"/>
    <w:rsid w:val="002A1D28"/>
    <w:rsid w:val="002A1FD6"/>
    <w:rsid w:val="002A22AF"/>
    <w:rsid w:val="002A29D2"/>
    <w:rsid w:val="002A2E36"/>
    <w:rsid w:val="002A321D"/>
    <w:rsid w:val="002A36CF"/>
    <w:rsid w:val="002A4737"/>
    <w:rsid w:val="002A53E5"/>
    <w:rsid w:val="002A5852"/>
    <w:rsid w:val="002A5928"/>
    <w:rsid w:val="002A62C3"/>
    <w:rsid w:val="002A7486"/>
    <w:rsid w:val="002A766A"/>
    <w:rsid w:val="002A7C02"/>
    <w:rsid w:val="002A7E1E"/>
    <w:rsid w:val="002A7E5D"/>
    <w:rsid w:val="002B0A53"/>
    <w:rsid w:val="002B0B7B"/>
    <w:rsid w:val="002B10FB"/>
    <w:rsid w:val="002B15A7"/>
    <w:rsid w:val="002B15E6"/>
    <w:rsid w:val="002B2652"/>
    <w:rsid w:val="002B2EC5"/>
    <w:rsid w:val="002B3D5B"/>
    <w:rsid w:val="002B43BB"/>
    <w:rsid w:val="002B4B64"/>
    <w:rsid w:val="002B51C3"/>
    <w:rsid w:val="002B7130"/>
    <w:rsid w:val="002B74FD"/>
    <w:rsid w:val="002B7509"/>
    <w:rsid w:val="002B799E"/>
    <w:rsid w:val="002B79DC"/>
    <w:rsid w:val="002B7C12"/>
    <w:rsid w:val="002B7F41"/>
    <w:rsid w:val="002C03DA"/>
    <w:rsid w:val="002C0743"/>
    <w:rsid w:val="002C0BC4"/>
    <w:rsid w:val="002C0E6A"/>
    <w:rsid w:val="002C10D7"/>
    <w:rsid w:val="002C18A0"/>
    <w:rsid w:val="002C1D2E"/>
    <w:rsid w:val="002C211A"/>
    <w:rsid w:val="002C2298"/>
    <w:rsid w:val="002C26D4"/>
    <w:rsid w:val="002C2BED"/>
    <w:rsid w:val="002C3101"/>
    <w:rsid w:val="002C366D"/>
    <w:rsid w:val="002C4A48"/>
    <w:rsid w:val="002C5954"/>
    <w:rsid w:val="002C5F58"/>
    <w:rsid w:val="002C6A1C"/>
    <w:rsid w:val="002C768B"/>
    <w:rsid w:val="002C7768"/>
    <w:rsid w:val="002C79A8"/>
    <w:rsid w:val="002C7EF2"/>
    <w:rsid w:val="002D112B"/>
    <w:rsid w:val="002D2100"/>
    <w:rsid w:val="002D235E"/>
    <w:rsid w:val="002D260C"/>
    <w:rsid w:val="002D2970"/>
    <w:rsid w:val="002D3518"/>
    <w:rsid w:val="002D3C52"/>
    <w:rsid w:val="002D3E22"/>
    <w:rsid w:val="002D54C7"/>
    <w:rsid w:val="002D56C5"/>
    <w:rsid w:val="002D5AAA"/>
    <w:rsid w:val="002D5F99"/>
    <w:rsid w:val="002D6616"/>
    <w:rsid w:val="002D6FC3"/>
    <w:rsid w:val="002D79AA"/>
    <w:rsid w:val="002E02C4"/>
    <w:rsid w:val="002E0AD7"/>
    <w:rsid w:val="002E1871"/>
    <w:rsid w:val="002E238A"/>
    <w:rsid w:val="002E3AEC"/>
    <w:rsid w:val="002E3CF2"/>
    <w:rsid w:val="002E5787"/>
    <w:rsid w:val="002E5849"/>
    <w:rsid w:val="002E5ABF"/>
    <w:rsid w:val="002E5BEC"/>
    <w:rsid w:val="002E69E2"/>
    <w:rsid w:val="002E6F5B"/>
    <w:rsid w:val="002E710F"/>
    <w:rsid w:val="002E7320"/>
    <w:rsid w:val="002E78A3"/>
    <w:rsid w:val="002F08CD"/>
    <w:rsid w:val="002F1287"/>
    <w:rsid w:val="002F142C"/>
    <w:rsid w:val="002F1D60"/>
    <w:rsid w:val="002F2752"/>
    <w:rsid w:val="002F3199"/>
    <w:rsid w:val="002F3EA6"/>
    <w:rsid w:val="002F566C"/>
    <w:rsid w:val="002F56E4"/>
    <w:rsid w:val="002F5CBB"/>
    <w:rsid w:val="002F5E45"/>
    <w:rsid w:val="002F5E6A"/>
    <w:rsid w:val="002F61B2"/>
    <w:rsid w:val="002F68CD"/>
    <w:rsid w:val="002F6AEC"/>
    <w:rsid w:val="002F7AAE"/>
    <w:rsid w:val="0030061A"/>
    <w:rsid w:val="00300726"/>
    <w:rsid w:val="00301913"/>
    <w:rsid w:val="0030196C"/>
    <w:rsid w:val="00301C04"/>
    <w:rsid w:val="00302717"/>
    <w:rsid w:val="003043BE"/>
    <w:rsid w:val="00304900"/>
    <w:rsid w:val="00304BFF"/>
    <w:rsid w:val="00306F45"/>
    <w:rsid w:val="00307232"/>
    <w:rsid w:val="00307703"/>
    <w:rsid w:val="00307E20"/>
    <w:rsid w:val="00311292"/>
    <w:rsid w:val="0031260C"/>
    <w:rsid w:val="00312C75"/>
    <w:rsid w:val="00312DA6"/>
    <w:rsid w:val="00312EAF"/>
    <w:rsid w:val="00313590"/>
    <w:rsid w:val="00313C10"/>
    <w:rsid w:val="00313E26"/>
    <w:rsid w:val="00314363"/>
    <w:rsid w:val="00314E25"/>
    <w:rsid w:val="00315331"/>
    <w:rsid w:val="00315FDD"/>
    <w:rsid w:val="003203B5"/>
    <w:rsid w:val="00320A30"/>
    <w:rsid w:val="00321109"/>
    <w:rsid w:val="00322586"/>
    <w:rsid w:val="0032273E"/>
    <w:rsid w:val="00322F37"/>
    <w:rsid w:val="0032393A"/>
    <w:rsid w:val="00323DD3"/>
    <w:rsid w:val="00324379"/>
    <w:rsid w:val="003243FF"/>
    <w:rsid w:val="0032457C"/>
    <w:rsid w:val="0032474D"/>
    <w:rsid w:val="003249B9"/>
    <w:rsid w:val="00325F2B"/>
    <w:rsid w:val="00326439"/>
    <w:rsid w:val="0032654E"/>
    <w:rsid w:val="00326669"/>
    <w:rsid w:val="003266B8"/>
    <w:rsid w:val="00326988"/>
    <w:rsid w:val="00326D4A"/>
    <w:rsid w:val="00326F79"/>
    <w:rsid w:val="00327D2D"/>
    <w:rsid w:val="0033159D"/>
    <w:rsid w:val="0033192D"/>
    <w:rsid w:val="003325C2"/>
    <w:rsid w:val="00333CD8"/>
    <w:rsid w:val="00335081"/>
    <w:rsid w:val="00335AA7"/>
    <w:rsid w:val="0033609D"/>
    <w:rsid w:val="00337515"/>
    <w:rsid w:val="00337BE3"/>
    <w:rsid w:val="003407DA"/>
    <w:rsid w:val="00342196"/>
    <w:rsid w:val="003423DE"/>
    <w:rsid w:val="00343199"/>
    <w:rsid w:val="00344737"/>
    <w:rsid w:val="00345C8E"/>
    <w:rsid w:val="00345CF9"/>
    <w:rsid w:val="00345EE0"/>
    <w:rsid w:val="00346706"/>
    <w:rsid w:val="00346987"/>
    <w:rsid w:val="00350036"/>
    <w:rsid w:val="0035142B"/>
    <w:rsid w:val="003514ED"/>
    <w:rsid w:val="00351C1F"/>
    <w:rsid w:val="00351E1C"/>
    <w:rsid w:val="00352106"/>
    <w:rsid w:val="0035217E"/>
    <w:rsid w:val="003525DA"/>
    <w:rsid w:val="00352758"/>
    <w:rsid w:val="00352D33"/>
    <w:rsid w:val="00353BBD"/>
    <w:rsid w:val="00353CB2"/>
    <w:rsid w:val="003541C4"/>
    <w:rsid w:val="00354591"/>
    <w:rsid w:val="00354A18"/>
    <w:rsid w:val="00354E92"/>
    <w:rsid w:val="003550EA"/>
    <w:rsid w:val="003559FA"/>
    <w:rsid w:val="00355D56"/>
    <w:rsid w:val="00357814"/>
    <w:rsid w:val="00357B74"/>
    <w:rsid w:val="00360176"/>
    <w:rsid w:val="00360556"/>
    <w:rsid w:val="00360720"/>
    <w:rsid w:val="0036132C"/>
    <w:rsid w:val="00362325"/>
    <w:rsid w:val="00362A0D"/>
    <w:rsid w:val="0036400D"/>
    <w:rsid w:val="003658EF"/>
    <w:rsid w:val="00365FDC"/>
    <w:rsid w:val="003661DE"/>
    <w:rsid w:val="003670AA"/>
    <w:rsid w:val="00367BF2"/>
    <w:rsid w:val="00370A60"/>
    <w:rsid w:val="00370B08"/>
    <w:rsid w:val="00370D7E"/>
    <w:rsid w:val="003713F9"/>
    <w:rsid w:val="003719C4"/>
    <w:rsid w:val="00371D19"/>
    <w:rsid w:val="003724EE"/>
    <w:rsid w:val="00373C93"/>
    <w:rsid w:val="00374E6D"/>
    <w:rsid w:val="0037636A"/>
    <w:rsid w:val="003763AE"/>
    <w:rsid w:val="00376AC0"/>
    <w:rsid w:val="00377971"/>
    <w:rsid w:val="003803FA"/>
    <w:rsid w:val="00380461"/>
    <w:rsid w:val="003812CC"/>
    <w:rsid w:val="00381490"/>
    <w:rsid w:val="00381936"/>
    <w:rsid w:val="003827AF"/>
    <w:rsid w:val="00384704"/>
    <w:rsid w:val="0038490E"/>
    <w:rsid w:val="003849A2"/>
    <w:rsid w:val="00385E59"/>
    <w:rsid w:val="003863D3"/>
    <w:rsid w:val="003863F6"/>
    <w:rsid w:val="00386E22"/>
    <w:rsid w:val="00387270"/>
    <w:rsid w:val="00390465"/>
    <w:rsid w:val="0039097A"/>
    <w:rsid w:val="00391350"/>
    <w:rsid w:val="003917E1"/>
    <w:rsid w:val="00393479"/>
    <w:rsid w:val="003937BF"/>
    <w:rsid w:val="003938B0"/>
    <w:rsid w:val="00394384"/>
    <w:rsid w:val="003945C0"/>
    <w:rsid w:val="00394F5D"/>
    <w:rsid w:val="00395232"/>
    <w:rsid w:val="003953F7"/>
    <w:rsid w:val="003960C1"/>
    <w:rsid w:val="003972B5"/>
    <w:rsid w:val="00397DC1"/>
    <w:rsid w:val="003A0725"/>
    <w:rsid w:val="003A0E00"/>
    <w:rsid w:val="003A1290"/>
    <w:rsid w:val="003A18CF"/>
    <w:rsid w:val="003A3105"/>
    <w:rsid w:val="003A32A5"/>
    <w:rsid w:val="003A35D3"/>
    <w:rsid w:val="003A3FB3"/>
    <w:rsid w:val="003A3FCF"/>
    <w:rsid w:val="003A4987"/>
    <w:rsid w:val="003A4FD0"/>
    <w:rsid w:val="003A50A2"/>
    <w:rsid w:val="003A5110"/>
    <w:rsid w:val="003A5245"/>
    <w:rsid w:val="003A52E9"/>
    <w:rsid w:val="003A5304"/>
    <w:rsid w:val="003A5AEB"/>
    <w:rsid w:val="003A60E0"/>
    <w:rsid w:val="003A6EC4"/>
    <w:rsid w:val="003A70BA"/>
    <w:rsid w:val="003A7ECC"/>
    <w:rsid w:val="003B092A"/>
    <w:rsid w:val="003B0AF2"/>
    <w:rsid w:val="003B0B34"/>
    <w:rsid w:val="003B0EDF"/>
    <w:rsid w:val="003B12AD"/>
    <w:rsid w:val="003B220F"/>
    <w:rsid w:val="003B27AF"/>
    <w:rsid w:val="003B330D"/>
    <w:rsid w:val="003B3593"/>
    <w:rsid w:val="003B3AA3"/>
    <w:rsid w:val="003B3D47"/>
    <w:rsid w:val="003B3D78"/>
    <w:rsid w:val="003B478B"/>
    <w:rsid w:val="003B570F"/>
    <w:rsid w:val="003B6387"/>
    <w:rsid w:val="003B6E43"/>
    <w:rsid w:val="003B7237"/>
    <w:rsid w:val="003C096D"/>
    <w:rsid w:val="003C0E95"/>
    <w:rsid w:val="003C1028"/>
    <w:rsid w:val="003C1653"/>
    <w:rsid w:val="003C205E"/>
    <w:rsid w:val="003C210F"/>
    <w:rsid w:val="003C2158"/>
    <w:rsid w:val="003C2208"/>
    <w:rsid w:val="003C282E"/>
    <w:rsid w:val="003C2924"/>
    <w:rsid w:val="003C2D1C"/>
    <w:rsid w:val="003C2DFE"/>
    <w:rsid w:val="003C3114"/>
    <w:rsid w:val="003C4254"/>
    <w:rsid w:val="003C4632"/>
    <w:rsid w:val="003C4945"/>
    <w:rsid w:val="003C50AE"/>
    <w:rsid w:val="003C6758"/>
    <w:rsid w:val="003C79A0"/>
    <w:rsid w:val="003D0AF3"/>
    <w:rsid w:val="003D0B54"/>
    <w:rsid w:val="003D25F5"/>
    <w:rsid w:val="003D27CC"/>
    <w:rsid w:val="003D435F"/>
    <w:rsid w:val="003D554F"/>
    <w:rsid w:val="003D5D63"/>
    <w:rsid w:val="003D6A47"/>
    <w:rsid w:val="003D6DF2"/>
    <w:rsid w:val="003D703A"/>
    <w:rsid w:val="003D7146"/>
    <w:rsid w:val="003D748A"/>
    <w:rsid w:val="003D76D8"/>
    <w:rsid w:val="003D7D3E"/>
    <w:rsid w:val="003E04DE"/>
    <w:rsid w:val="003E0E01"/>
    <w:rsid w:val="003E0E9C"/>
    <w:rsid w:val="003E1044"/>
    <w:rsid w:val="003E168D"/>
    <w:rsid w:val="003E1CA9"/>
    <w:rsid w:val="003E22C4"/>
    <w:rsid w:val="003E3A1D"/>
    <w:rsid w:val="003E42B6"/>
    <w:rsid w:val="003E470E"/>
    <w:rsid w:val="003E4DD3"/>
    <w:rsid w:val="003E657B"/>
    <w:rsid w:val="003E7065"/>
    <w:rsid w:val="003E7485"/>
    <w:rsid w:val="003E7507"/>
    <w:rsid w:val="003E7CE2"/>
    <w:rsid w:val="003F0597"/>
    <w:rsid w:val="003F062E"/>
    <w:rsid w:val="003F107C"/>
    <w:rsid w:val="003F18F7"/>
    <w:rsid w:val="003F1E9D"/>
    <w:rsid w:val="003F2957"/>
    <w:rsid w:val="003F362B"/>
    <w:rsid w:val="003F3656"/>
    <w:rsid w:val="003F3B02"/>
    <w:rsid w:val="003F3BF4"/>
    <w:rsid w:val="003F3FAF"/>
    <w:rsid w:val="003F670D"/>
    <w:rsid w:val="003F7B32"/>
    <w:rsid w:val="00400110"/>
    <w:rsid w:val="00400526"/>
    <w:rsid w:val="00400983"/>
    <w:rsid w:val="00401990"/>
    <w:rsid w:val="00403ED5"/>
    <w:rsid w:val="0040459B"/>
    <w:rsid w:val="00404C21"/>
    <w:rsid w:val="00405294"/>
    <w:rsid w:val="004054B1"/>
    <w:rsid w:val="00405940"/>
    <w:rsid w:val="00405B58"/>
    <w:rsid w:val="00406A51"/>
    <w:rsid w:val="004074DD"/>
    <w:rsid w:val="00407696"/>
    <w:rsid w:val="004105E0"/>
    <w:rsid w:val="0041160A"/>
    <w:rsid w:val="00411F68"/>
    <w:rsid w:val="00412740"/>
    <w:rsid w:val="00412CF2"/>
    <w:rsid w:val="00413F4D"/>
    <w:rsid w:val="0041457A"/>
    <w:rsid w:val="004153FC"/>
    <w:rsid w:val="004158F0"/>
    <w:rsid w:val="00416547"/>
    <w:rsid w:val="004166F7"/>
    <w:rsid w:val="00416870"/>
    <w:rsid w:val="00417308"/>
    <w:rsid w:val="0041772A"/>
    <w:rsid w:val="0041779B"/>
    <w:rsid w:val="0042017B"/>
    <w:rsid w:val="004208F0"/>
    <w:rsid w:val="00420913"/>
    <w:rsid w:val="00420B43"/>
    <w:rsid w:val="00420D3C"/>
    <w:rsid w:val="004211F6"/>
    <w:rsid w:val="00421A81"/>
    <w:rsid w:val="00422883"/>
    <w:rsid w:val="00422ACC"/>
    <w:rsid w:val="00424BD9"/>
    <w:rsid w:val="00424E25"/>
    <w:rsid w:val="0042529A"/>
    <w:rsid w:val="00425D46"/>
    <w:rsid w:val="00426845"/>
    <w:rsid w:val="00427219"/>
    <w:rsid w:val="004274C1"/>
    <w:rsid w:val="00427977"/>
    <w:rsid w:val="00427B82"/>
    <w:rsid w:val="00430234"/>
    <w:rsid w:val="00431767"/>
    <w:rsid w:val="00431E4B"/>
    <w:rsid w:val="0043207F"/>
    <w:rsid w:val="0043296A"/>
    <w:rsid w:val="00433CB2"/>
    <w:rsid w:val="00434700"/>
    <w:rsid w:val="00434E44"/>
    <w:rsid w:val="00434E64"/>
    <w:rsid w:val="00435604"/>
    <w:rsid w:val="00435631"/>
    <w:rsid w:val="00435C79"/>
    <w:rsid w:val="004367EF"/>
    <w:rsid w:val="0043688A"/>
    <w:rsid w:val="00436A48"/>
    <w:rsid w:val="00436F71"/>
    <w:rsid w:val="0043785F"/>
    <w:rsid w:val="00437CA2"/>
    <w:rsid w:val="0044099F"/>
    <w:rsid w:val="004409C3"/>
    <w:rsid w:val="00440B2D"/>
    <w:rsid w:val="00440D16"/>
    <w:rsid w:val="004421AE"/>
    <w:rsid w:val="004421E3"/>
    <w:rsid w:val="004430BB"/>
    <w:rsid w:val="0044331B"/>
    <w:rsid w:val="00443831"/>
    <w:rsid w:val="004442BE"/>
    <w:rsid w:val="00444815"/>
    <w:rsid w:val="00445B5E"/>
    <w:rsid w:val="004468AE"/>
    <w:rsid w:val="00446911"/>
    <w:rsid w:val="00446EA3"/>
    <w:rsid w:val="00450343"/>
    <w:rsid w:val="00450950"/>
    <w:rsid w:val="00450EFF"/>
    <w:rsid w:val="00451043"/>
    <w:rsid w:val="00451104"/>
    <w:rsid w:val="00451534"/>
    <w:rsid w:val="00452F6C"/>
    <w:rsid w:val="004535E1"/>
    <w:rsid w:val="00454144"/>
    <w:rsid w:val="0045422F"/>
    <w:rsid w:val="0045433C"/>
    <w:rsid w:val="0045471C"/>
    <w:rsid w:val="0045473B"/>
    <w:rsid w:val="00457115"/>
    <w:rsid w:val="00460705"/>
    <w:rsid w:val="00460A24"/>
    <w:rsid w:val="00460BC9"/>
    <w:rsid w:val="0046151F"/>
    <w:rsid w:val="00462AA7"/>
    <w:rsid w:val="00463AB6"/>
    <w:rsid w:val="00464052"/>
    <w:rsid w:val="00464102"/>
    <w:rsid w:val="00465799"/>
    <w:rsid w:val="0046586B"/>
    <w:rsid w:val="004660F5"/>
    <w:rsid w:val="0046675F"/>
    <w:rsid w:val="004674F7"/>
    <w:rsid w:val="00470219"/>
    <w:rsid w:val="00470256"/>
    <w:rsid w:val="004704F9"/>
    <w:rsid w:val="00470847"/>
    <w:rsid w:val="004708C0"/>
    <w:rsid w:val="00471039"/>
    <w:rsid w:val="00471447"/>
    <w:rsid w:val="00471B70"/>
    <w:rsid w:val="00471D1D"/>
    <w:rsid w:val="00471D33"/>
    <w:rsid w:val="0047220A"/>
    <w:rsid w:val="004726C0"/>
    <w:rsid w:val="0047271F"/>
    <w:rsid w:val="004728D6"/>
    <w:rsid w:val="00472EDA"/>
    <w:rsid w:val="004732C6"/>
    <w:rsid w:val="00473ED5"/>
    <w:rsid w:val="004744E1"/>
    <w:rsid w:val="00474682"/>
    <w:rsid w:val="004758DE"/>
    <w:rsid w:val="00475AE3"/>
    <w:rsid w:val="00475F4B"/>
    <w:rsid w:val="004769C3"/>
    <w:rsid w:val="00477159"/>
    <w:rsid w:val="00477B88"/>
    <w:rsid w:val="00480253"/>
    <w:rsid w:val="004805D6"/>
    <w:rsid w:val="00480B8A"/>
    <w:rsid w:val="00481C22"/>
    <w:rsid w:val="004825A3"/>
    <w:rsid w:val="00482DFE"/>
    <w:rsid w:val="004834BC"/>
    <w:rsid w:val="00484AD3"/>
    <w:rsid w:val="004851EA"/>
    <w:rsid w:val="0048573D"/>
    <w:rsid w:val="00485A63"/>
    <w:rsid w:val="004868DB"/>
    <w:rsid w:val="00486BF3"/>
    <w:rsid w:val="004872D2"/>
    <w:rsid w:val="00487AE4"/>
    <w:rsid w:val="00490B11"/>
    <w:rsid w:val="00490B1D"/>
    <w:rsid w:val="00490E21"/>
    <w:rsid w:val="00491AFA"/>
    <w:rsid w:val="00491FB6"/>
    <w:rsid w:val="004931A3"/>
    <w:rsid w:val="00493412"/>
    <w:rsid w:val="00493C3D"/>
    <w:rsid w:val="00495348"/>
    <w:rsid w:val="0049640D"/>
    <w:rsid w:val="00497168"/>
    <w:rsid w:val="004972DE"/>
    <w:rsid w:val="004972E4"/>
    <w:rsid w:val="00497732"/>
    <w:rsid w:val="00497984"/>
    <w:rsid w:val="00497C57"/>
    <w:rsid w:val="00497D4F"/>
    <w:rsid w:val="004A02DC"/>
    <w:rsid w:val="004A0C09"/>
    <w:rsid w:val="004A126D"/>
    <w:rsid w:val="004A2333"/>
    <w:rsid w:val="004A29E4"/>
    <w:rsid w:val="004A32F1"/>
    <w:rsid w:val="004A33E9"/>
    <w:rsid w:val="004A371F"/>
    <w:rsid w:val="004A3EA6"/>
    <w:rsid w:val="004A3ECA"/>
    <w:rsid w:val="004A4BF6"/>
    <w:rsid w:val="004A5001"/>
    <w:rsid w:val="004A590B"/>
    <w:rsid w:val="004A5D5B"/>
    <w:rsid w:val="004A69AD"/>
    <w:rsid w:val="004A6D0D"/>
    <w:rsid w:val="004B04C6"/>
    <w:rsid w:val="004B08D3"/>
    <w:rsid w:val="004B0C3A"/>
    <w:rsid w:val="004B1613"/>
    <w:rsid w:val="004B2572"/>
    <w:rsid w:val="004B2685"/>
    <w:rsid w:val="004B35F7"/>
    <w:rsid w:val="004B3D4B"/>
    <w:rsid w:val="004B3E3D"/>
    <w:rsid w:val="004B4273"/>
    <w:rsid w:val="004B4E32"/>
    <w:rsid w:val="004B5321"/>
    <w:rsid w:val="004B5383"/>
    <w:rsid w:val="004B64B5"/>
    <w:rsid w:val="004B7076"/>
    <w:rsid w:val="004B74AF"/>
    <w:rsid w:val="004C049D"/>
    <w:rsid w:val="004C1BAB"/>
    <w:rsid w:val="004C202B"/>
    <w:rsid w:val="004C21FA"/>
    <w:rsid w:val="004C26B8"/>
    <w:rsid w:val="004C26D2"/>
    <w:rsid w:val="004C4444"/>
    <w:rsid w:val="004C4CB2"/>
    <w:rsid w:val="004C4D5D"/>
    <w:rsid w:val="004C5F79"/>
    <w:rsid w:val="004C612A"/>
    <w:rsid w:val="004C62F7"/>
    <w:rsid w:val="004C637F"/>
    <w:rsid w:val="004C6EE9"/>
    <w:rsid w:val="004C722F"/>
    <w:rsid w:val="004C7237"/>
    <w:rsid w:val="004D03FA"/>
    <w:rsid w:val="004D07E5"/>
    <w:rsid w:val="004D14A8"/>
    <w:rsid w:val="004D2992"/>
    <w:rsid w:val="004D2BAF"/>
    <w:rsid w:val="004D2C10"/>
    <w:rsid w:val="004D3202"/>
    <w:rsid w:val="004D469E"/>
    <w:rsid w:val="004D4741"/>
    <w:rsid w:val="004D48A5"/>
    <w:rsid w:val="004D4B44"/>
    <w:rsid w:val="004D4E20"/>
    <w:rsid w:val="004D7FEA"/>
    <w:rsid w:val="004E08BE"/>
    <w:rsid w:val="004E0C6B"/>
    <w:rsid w:val="004E0D06"/>
    <w:rsid w:val="004E183B"/>
    <w:rsid w:val="004E1C62"/>
    <w:rsid w:val="004E2497"/>
    <w:rsid w:val="004E24BC"/>
    <w:rsid w:val="004E2DFB"/>
    <w:rsid w:val="004E3363"/>
    <w:rsid w:val="004E3D51"/>
    <w:rsid w:val="004E3F63"/>
    <w:rsid w:val="004E4F5A"/>
    <w:rsid w:val="004E5131"/>
    <w:rsid w:val="004E5520"/>
    <w:rsid w:val="004E55BA"/>
    <w:rsid w:val="004E565E"/>
    <w:rsid w:val="004E67DD"/>
    <w:rsid w:val="004E7840"/>
    <w:rsid w:val="004E791A"/>
    <w:rsid w:val="004E7B02"/>
    <w:rsid w:val="004F07EF"/>
    <w:rsid w:val="004F0AE6"/>
    <w:rsid w:val="004F0C24"/>
    <w:rsid w:val="004F16D1"/>
    <w:rsid w:val="004F18F6"/>
    <w:rsid w:val="004F1AD1"/>
    <w:rsid w:val="004F344E"/>
    <w:rsid w:val="004F370D"/>
    <w:rsid w:val="004F3CFC"/>
    <w:rsid w:val="004F42C1"/>
    <w:rsid w:val="004F4A05"/>
    <w:rsid w:val="004F52B4"/>
    <w:rsid w:val="004F59BE"/>
    <w:rsid w:val="004F5D8B"/>
    <w:rsid w:val="004F6318"/>
    <w:rsid w:val="004F63DF"/>
    <w:rsid w:val="004F6CAB"/>
    <w:rsid w:val="004F7887"/>
    <w:rsid w:val="004F79B7"/>
    <w:rsid w:val="005008CC"/>
    <w:rsid w:val="005010D2"/>
    <w:rsid w:val="005016B0"/>
    <w:rsid w:val="00501D0E"/>
    <w:rsid w:val="0050202E"/>
    <w:rsid w:val="00502774"/>
    <w:rsid w:val="00503B05"/>
    <w:rsid w:val="00503DFC"/>
    <w:rsid w:val="00503F34"/>
    <w:rsid w:val="005041F1"/>
    <w:rsid w:val="00504C1B"/>
    <w:rsid w:val="005063ED"/>
    <w:rsid w:val="0050642C"/>
    <w:rsid w:val="00506B0A"/>
    <w:rsid w:val="00506B3B"/>
    <w:rsid w:val="00506BF3"/>
    <w:rsid w:val="00506E8E"/>
    <w:rsid w:val="00507250"/>
    <w:rsid w:val="005076C2"/>
    <w:rsid w:val="00507FF6"/>
    <w:rsid w:val="00510671"/>
    <w:rsid w:val="00510B87"/>
    <w:rsid w:val="00511346"/>
    <w:rsid w:val="00511BC9"/>
    <w:rsid w:val="00511C57"/>
    <w:rsid w:val="0051274C"/>
    <w:rsid w:val="005128B6"/>
    <w:rsid w:val="00512E54"/>
    <w:rsid w:val="00513932"/>
    <w:rsid w:val="00513F5E"/>
    <w:rsid w:val="00514271"/>
    <w:rsid w:val="005148A3"/>
    <w:rsid w:val="00514F62"/>
    <w:rsid w:val="00515560"/>
    <w:rsid w:val="00516548"/>
    <w:rsid w:val="00517831"/>
    <w:rsid w:val="005203E1"/>
    <w:rsid w:val="005216FD"/>
    <w:rsid w:val="00522232"/>
    <w:rsid w:val="00522383"/>
    <w:rsid w:val="005228C3"/>
    <w:rsid w:val="0052315E"/>
    <w:rsid w:val="005231BF"/>
    <w:rsid w:val="005234AF"/>
    <w:rsid w:val="00525787"/>
    <w:rsid w:val="00525DF4"/>
    <w:rsid w:val="0052705D"/>
    <w:rsid w:val="005270A5"/>
    <w:rsid w:val="005271CF"/>
    <w:rsid w:val="00527651"/>
    <w:rsid w:val="00530D42"/>
    <w:rsid w:val="00530E86"/>
    <w:rsid w:val="00530E90"/>
    <w:rsid w:val="00531247"/>
    <w:rsid w:val="005314AC"/>
    <w:rsid w:val="00531A41"/>
    <w:rsid w:val="005325CC"/>
    <w:rsid w:val="005335C3"/>
    <w:rsid w:val="005346FE"/>
    <w:rsid w:val="00534965"/>
    <w:rsid w:val="00534ECB"/>
    <w:rsid w:val="005358B4"/>
    <w:rsid w:val="00535F45"/>
    <w:rsid w:val="0054064D"/>
    <w:rsid w:val="005406FD"/>
    <w:rsid w:val="0054089B"/>
    <w:rsid w:val="00540AC5"/>
    <w:rsid w:val="00540BE7"/>
    <w:rsid w:val="005426C2"/>
    <w:rsid w:val="005429BE"/>
    <w:rsid w:val="00542A11"/>
    <w:rsid w:val="00543872"/>
    <w:rsid w:val="00545A36"/>
    <w:rsid w:val="00546559"/>
    <w:rsid w:val="005465E0"/>
    <w:rsid w:val="005467EB"/>
    <w:rsid w:val="00546AA5"/>
    <w:rsid w:val="00547601"/>
    <w:rsid w:val="00547BA0"/>
    <w:rsid w:val="0055015D"/>
    <w:rsid w:val="0055058D"/>
    <w:rsid w:val="00550895"/>
    <w:rsid w:val="00551FFF"/>
    <w:rsid w:val="00553EB0"/>
    <w:rsid w:val="0055426F"/>
    <w:rsid w:val="00554678"/>
    <w:rsid w:val="00555222"/>
    <w:rsid w:val="005559A8"/>
    <w:rsid w:val="00557809"/>
    <w:rsid w:val="00557C85"/>
    <w:rsid w:val="00560C19"/>
    <w:rsid w:val="00560ED1"/>
    <w:rsid w:val="00561B7D"/>
    <w:rsid w:val="00562D36"/>
    <w:rsid w:val="00562E23"/>
    <w:rsid w:val="00563170"/>
    <w:rsid w:val="00563F7F"/>
    <w:rsid w:val="00564F63"/>
    <w:rsid w:val="005655DD"/>
    <w:rsid w:val="00565E32"/>
    <w:rsid w:val="005665B1"/>
    <w:rsid w:val="0056722B"/>
    <w:rsid w:val="00567C21"/>
    <w:rsid w:val="00567CDC"/>
    <w:rsid w:val="00570837"/>
    <w:rsid w:val="00570BDD"/>
    <w:rsid w:val="00570C0E"/>
    <w:rsid w:val="00572558"/>
    <w:rsid w:val="00573060"/>
    <w:rsid w:val="00573821"/>
    <w:rsid w:val="0057388C"/>
    <w:rsid w:val="0057413F"/>
    <w:rsid w:val="00574A2F"/>
    <w:rsid w:val="00575E3A"/>
    <w:rsid w:val="0057657D"/>
    <w:rsid w:val="00576614"/>
    <w:rsid w:val="005768F3"/>
    <w:rsid w:val="00576E52"/>
    <w:rsid w:val="005776D2"/>
    <w:rsid w:val="00577957"/>
    <w:rsid w:val="00577C14"/>
    <w:rsid w:val="00580123"/>
    <w:rsid w:val="005802BF"/>
    <w:rsid w:val="0058095C"/>
    <w:rsid w:val="00580F2D"/>
    <w:rsid w:val="00581039"/>
    <w:rsid w:val="005814AC"/>
    <w:rsid w:val="00581D56"/>
    <w:rsid w:val="00581E19"/>
    <w:rsid w:val="00582246"/>
    <w:rsid w:val="00582436"/>
    <w:rsid w:val="0058309C"/>
    <w:rsid w:val="00584093"/>
    <w:rsid w:val="0058425B"/>
    <w:rsid w:val="00584758"/>
    <w:rsid w:val="00585AB6"/>
    <w:rsid w:val="00585AD7"/>
    <w:rsid w:val="00585C38"/>
    <w:rsid w:val="00585D17"/>
    <w:rsid w:val="00586018"/>
    <w:rsid w:val="00586FA1"/>
    <w:rsid w:val="0058707E"/>
    <w:rsid w:val="005879B7"/>
    <w:rsid w:val="005926A9"/>
    <w:rsid w:val="005926FE"/>
    <w:rsid w:val="00593133"/>
    <w:rsid w:val="00593A64"/>
    <w:rsid w:val="00593B3D"/>
    <w:rsid w:val="00593F1C"/>
    <w:rsid w:val="00594585"/>
    <w:rsid w:val="005950FE"/>
    <w:rsid w:val="00596CE0"/>
    <w:rsid w:val="00597509"/>
    <w:rsid w:val="00597CC7"/>
    <w:rsid w:val="005A0745"/>
    <w:rsid w:val="005A23B8"/>
    <w:rsid w:val="005A27B6"/>
    <w:rsid w:val="005A2E34"/>
    <w:rsid w:val="005A3212"/>
    <w:rsid w:val="005A3289"/>
    <w:rsid w:val="005A36A6"/>
    <w:rsid w:val="005A4372"/>
    <w:rsid w:val="005A4BB0"/>
    <w:rsid w:val="005A5697"/>
    <w:rsid w:val="005A5FB6"/>
    <w:rsid w:val="005A60A1"/>
    <w:rsid w:val="005A6369"/>
    <w:rsid w:val="005A6918"/>
    <w:rsid w:val="005A6B2B"/>
    <w:rsid w:val="005A6F1D"/>
    <w:rsid w:val="005A7C0B"/>
    <w:rsid w:val="005A7EB7"/>
    <w:rsid w:val="005B02B8"/>
    <w:rsid w:val="005B02E3"/>
    <w:rsid w:val="005B09C4"/>
    <w:rsid w:val="005B0A27"/>
    <w:rsid w:val="005B1014"/>
    <w:rsid w:val="005B1521"/>
    <w:rsid w:val="005B325E"/>
    <w:rsid w:val="005B33EC"/>
    <w:rsid w:val="005B445D"/>
    <w:rsid w:val="005B5097"/>
    <w:rsid w:val="005B6768"/>
    <w:rsid w:val="005B6912"/>
    <w:rsid w:val="005B6C42"/>
    <w:rsid w:val="005B6FD5"/>
    <w:rsid w:val="005B71BC"/>
    <w:rsid w:val="005B77A5"/>
    <w:rsid w:val="005B77E3"/>
    <w:rsid w:val="005C01F5"/>
    <w:rsid w:val="005C029D"/>
    <w:rsid w:val="005C1110"/>
    <w:rsid w:val="005C1739"/>
    <w:rsid w:val="005C2B41"/>
    <w:rsid w:val="005C2EDD"/>
    <w:rsid w:val="005C331A"/>
    <w:rsid w:val="005C33EA"/>
    <w:rsid w:val="005C379B"/>
    <w:rsid w:val="005C3832"/>
    <w:rsid w:val="005C41EB"/>
    <w:rsid w:val="005C473B"/>
    <w:rsid w:val="005C595F"/>
    <w:rsid w:val="005C5BF2"/>
    <w:rsid w:val="005C68C9"/>
    <w:rsid w:val="005D0118"/>
    <w:rsid w:val="005D02B0"/>
    <w:rsid w:val="005D0483"/>
    <w:rsid w:val="005D0680"/>
    <w:rsid w:val="005D07D9"/>
    <w:rsid w:val="005D0F3E"/>
    <w:rsid w:val="005D1941"/>
    <w:rsid w:val="005D1BE9"/>
    <w:rsid w:val="005D238E"/>
    <w:rsid w:val="005D2895"/>
    <w:rsid w:val="005D3956"/>
    <w:rsid w:val="005D3CAB"/>
    <w:rsid w:val="005D3E5E"/>
    <w:rsid w:val="005D3EA9"/>
    <w:rsid w:val="005D44DC"/>
    <w:rsid w:val="005D466C"/>
    <w:rsid w:val="005D5B33"/>
    <w:rsid w:val="005D5DB2"/>
    <w:rsid w:val="005D63D7"/>
    <w:rsid w:val="005D6464"/>
    <w:rsid w:val="005D6C02"/>
    <w:rsid w:val="005D6FB7"/>
    <w:rsid w:val="005D733B"/>
    <w:rsid w:val="005D7830"/>
    <w:rsid w:val="005D7D69"/>
    <w:rsid w:val="005D7E3C"/>
    <w:rsid w:val="005E05A8"/>
    <w:rsid w:val="005E180C"/>
    <w:rsid w:val="005E1D4B"/>
    <w:rsid w:val="005E2168"/>
    <w:rsid w:val="005E22C7"/>
    <w:rsid w:val="005E2815"/>
    <w:rsid w:val="005E2EB3"/>
    <w:rsid w:val="005E3E9B"/>
    <w:rsid w:val="005E400D"/>
    <w:rsid w:val="005E4FD6"/>
    <w:rsid w:val="005E5415"/>
    <w:rsid w:val="005E59F9"/>
    <w:rsid w:val="005E5D06"/>
    <w:rsid w:val="005E5EBF"/>
    <w:rsid w:val="005E6632"/>
    <w:rsid w:val="005F01B6"/>
    <w:rsid w:val="005F0D2E"/>
    <w:rsid w:val="005F1F0E"/>
    <w:rsid w:val="005F1FC0"/>
    <w:rsid w:val="005F2467"/>
    <w:rsid w:val="005F2E1B"/>
    <w:rsid w:val="005F3BED"/>
    <w:rsid w:val="005F3E46"/>
    <w:rsid w:val="005F3E4D"/>
    <w:rsid w:val="005F4616"/>
    <w:rsid w:val="005F5357"/>
    <w:rsid w:val="005F5404"/>
    <w:rsid w:val="005F72D8"/>
    <w:rsid w:val="00600D77"/>
    <w:rsid w:val="00600D95"/>
    <w:rsid w:val="006013E0"/>
    <w:rsid w:val="00601474"/>
    <w:rsid w:val="006031AF"/>
    <w:rsid w:val="006041E2"/>
    <w:rsid w:val="006066F1"/>
    <w:rsid w:val="00606A68"/>
    <w:rsid w:val="00607796"/>
    <w:rsid w:val="006078F5"/>
    <w:rsid w:val="0061222E"/>
    <w:rsid w:val="006137C3"/>
    <w:rsid w:val="00613A81"/>
    <w:rsid w:val="00613B5D"/>
    <w:rsid w:val="00615041"/>
    <w:rsid w:val="0061649F"/>
    <w:rsid w:val="00616BA1"/>
    <w:rsid w:val="00616DE3"/>
    <w:rsid w:val="006170EF"/>
    <w:rsid w:val="00617A67"/>
    <w:rsid w:val="00617BEB"/>
    <w:rsid w:val="00621856"/>
    <w:rsid w:val="00622CF0"/>
    <w:rsid w:val="00623440"/>
    <w:rsid w:val="00623925"/>
    <w:rsid w:val="006240DA"/>
    <w:rsid w:val="00624689"/>
    <w:rsid w:val="00624CE0"/>
    <w:rsid w:val="00624EBB"/>
    <w:rsid w:val="00625499"/>
    <w:rsid w:val="00626C37"/>
    <w:rsid w:val="00626FDF"/>
    <w:rsid w:val="00627948"/>
    <w:rsid w:val="006279EF"/>
    <w:rsid w:val="00627C24"/>
    <w:rsid w:val="0063078B"/>
    <w:rsid w:val="00630D99"/>
    <w:rsid w:val="0063159E"/>
    <w:rsid w:val="00631648"/>
    <w:rsid w:val="006318E1"/>
    <w:rsid w:val="00631A6E"/>
    <w:rsid w:val="006332C7"/>
    <w:rsid w:val="00633518"/>
    <w:rsid w:val="00633DBA"/>
    <w:rsid w:val="00633F5E"/>
    <w:rsid w:val="00634247"/>
    <w:rsid w:val="0063428A"/>
    <w:rsid w:val="00634856"/>
    <w:rsid w:val="00634C05"/>
    <w:rsid w:val="00635858"/>
    <w:rsid w:val="00635BAA"/>
    <w:rsid w:val="00636540"/>
    <w:rsid w:val="00636DBD"/>
    <w:rsid w:val="00637056"/>
    <w:rsid w:val="0064120B"/>
    <w:rsid w:val="006413F8"/>
    <w:rsid w:val="00641433"/>
    <w:rsid w:val="00641937"/>
    <w:rsid w:val="00642021"/>
    <w:rsid w:val="0064218D"/>
    <w:rsid w:val="00642A99"/>
    <w:rsid w:val="00642FBC"/>
    <w:rsid w:val="0064322F"/>
    <w:rsid w:val="00643CB3"/>
    <w:rsid w:val="00644E45"/>
    <w:rsid w:val="00645377"/>
    <w:rsid w:val="0064643D"/>
    <w:rsid w:val="00646954"/>
    <w:rsid w:val="006473DB"/>
    <w:rsid w:val="0064773C"/>
    <w:rsid w:val="00647784"/>
    <w:rsid w:val="00647BE8"/>
    <w:rsid w:val="0065045C"/>
    <w:rsid w:val="00651154"/>
    <w:rsid w:val="006514F8"/>
    <w:rsid w:val="00651A47"/>
    <w:rsid w:val="00652533"/>
    <w:rsid w:val="00652BA1"/>
    <w:rsid w:val="0065300A"/>
    <w:rsid w:val="0065327D"/>
    <w:rsid w:val="00653B2B"/>
    <w:rsid w:val="00653B79"/>
    <w:rsid w:val="00654BBD"/>
    <w:rsid w:val="006550AF"/>
    <w:rsid w:val="006551E0"/>
    <w:rsid w:val="006559CC"/>
    <w:rsid w:val="00655B47"/>
    <w:rsid w:val="00655B8C"/>
    <w:rsid w:val="006575AC"/>
    <w:rsid w:val="00657C7C"/>
    <w:rsid w:val="00657DDA"/>
    <w:rsid w:val="0066023F"/>
    <w:rsid w:val="0066027B"/>
    <w:rsid w:val="00660442"/>
    <w:rsid w:val="00660A7D"/>
    <w:rsid w:val="0066108F"/>
    <w:rsid w:val="00661441"/>
    <w:rsid w:val="0066175C"/>
    <w:rsid w:val="006617C3"/>
    <w:rsid w:val="00661962"/>
    <w:rsid w:val="00661A4E"/>
    <w:rsid w:val="006620AD"/>
    <w:rsid w:val="00663397"/>
    <w:rsid w:val="00663FAD"/>
    <w:rsid w:val="006656A6"/>
    <w:rsid w:val="00665ECF"/>
    <w:rsid w:val="0066619E"/>
    <w:rsid w:val="00667089"/>
    <w:rsid w:val="00671777"/>
    <w:rsid w:val="006717A3"/>
    <w:rsid w:val="00671ECF"/>
    <w:rsid w:val="00672383"/>
    <w:rsid w:val="0067261D"/>
    <w:rsid w:val="006727AC"/>
    <w:rsid w:val="00672A2B"/>
    <w:rsid w:val="00672FEF"/>
    <w:rsid w:val="0067484C"/>
    <w:rsid w:val="00675156"/>
    <w:rsid w:val="006754A3"/>
    <w:rsid w:val="0067782A"/>
    <w:rsid w:val="0068033A"/>
    <w:rsid w:val="00680AAE"/>
    <w:rsid w:val="0068173C"/>
    <w:rsid w:val="006817AF"/>
    <w:rsid w:val="006820FF"/>
    <w:rsid w:val="00682184"/>
    <w:rsid w:val="006821CC"/>
    <w:rsid w:val="0068256D"/>
    <w:rsid w:val="00682795"/>
    <w:rsid w:val="00683592"/>
    <w:rsid w:val="006836AA"/>
    <w:rsid w:val="00683796"/>
    <w:rsid w:val="00684C07"/>
    <w:rsid w:val="0068542B"/>
    <w:rsid w:val="00685467"/>
    <w:rsid w:val="00685E82"/>
    <w:rsid w:val="006864D5"/>
    <w:rsid w:val="00686596"/>
    <w:rsid w:val="00686868"/>
    <w:rsid w:val="00686CA3"/>
    <w:rsid w:val="00687097"/>
    <w:rsid w:val="00687307"/>
    <w:rsid w:val="0069013E"/>
    <w:rsid w:val="006905FD"/>
    <w:rsid w:val="00690E47"/>
    <w:rsid w:val="00691370"/>
    <w:rsid w:val="0069195E"/>
    <w:rsid w:val="00691E3B"/>
    <w:rsid w:val="00692444"/>
    <w:rsid w:val="00693383"/>
    <w:rsid w:val="006934E4"/>
    <w:rsid w:val="00693D6C"/>
    <w:rsid w:val="006945C1"/>
    <w:rsid w:val="006946EF"/>
    <w:rsid w:val="00695A2C"/>
    <w:rsid w:val="00696BA6"/>
    <w:rsid w:val="006975E3"/>
    <w:rsid w:val="0069760B"/>
    <w:rsid w:val="0069792B"/>
    <w:rsid w:val="00697B51"/>
    <w:rsid w:val="00697E8F"/>
    <w:rsid w:val="006A0433"/>
    <w:rsid w:val="006A0757"/>
    <w:rsid w:val="006A08BD"/>
    <w:rsid w:val="006A0913"/>
    <w:rsid w:val="006A0A7A"/>
    <w:rsid w:val="006A0BB6"/>
    <w:rsid w:val="006A0CA6"/>
    <w:rsid w:val="006A1512"/>
    <w:rsid w:val="006A18F3"/>
    <w:rsid w:val="006A1ECF"/>
    <w:rsid w:val="006A230B"/>
    <w:rsid w:val="006A351A"/>
    <w:rsid w:val="006A3B5A"/>
    <w:rsid w:val="006A411A"/>
    <w:rsid w:val="006A552D"/>
    <w:rsid w:val="006A5708"/>
    <w:rsid w:val="006A5A1C"/>
    <w:rsid w:val="006A6B2C"/>
    <w:rsid w:val="006A6D52"/>
    <w:rsid w:val="006A77FC"/>
    <w:rsid w:val="006A7BD0"/>
    <w:rsid w:val="006B0266"/>
    <w:rsid w:val="006B11E8"/>
    <w:rsid w:val="006B12D2"/>
    <w:rsid w:val="006B14FF"/>
    <w:rsid w:val="006B1FC1"/>
    <w:rsid w:val="006B2086"/>
    <w:rsid w:val="006B2CA2"/>
    <w:rsid w:val="006B314F"/>
    <w:rsid w:val="006B3C2A"/>
    <w:rsid w:val="006B695F"/>
    <w:rsid w:val="006B6E07"/>
    <w:rsid w:val="006B6E0B"/>
    <w:rsid w:val="006B780E"/>
    <w:rsid w:val="006B7ED4"/>
    <w:rsid w:val="006C0202"/>
    <w:rsid w:val="006C0438"/>
    <w:rsid w:val="006C0465"/>
    <w:rsid w:val="006C0877"/>
    <w:rsid w:val="006C09E5"/>
    <w:rsid w:val="006C0CD4"/>
    <w:rsid w:val="006C1139"/>
    <w:rsid w:val="006C15C1"/>
    <w:rsid w:val="006C15D0"/>
    <w:rsid w:val="006C1649"/>
    <w:rsid w:val="006C1ABB"/>
    <w:rsid w:val="006C2082"/>
    <w:rsid w:val="006C2BF9"/>
    <w:rsid w:val="006C2CF5"/>
    <w:rsid w:val="006C31B7"/>
    <w:rsid w:val="006C39DF"/>
    <w:rsid w:val="006C3B01"/>
    <w:rsid w:val="006C434A"/>
    <w:rsid w:val="006C4C14"/>
    <w:rsid w:val="006C60A7"/>
    <w:rsid w:val="006C6BFF"/>
    <w:rsid w:val="006C7006"/>
    <w:rsid w:val="006C770A"/>
    <w:rsid w:val="006C7D09"/>
    <w:rsid w:val="006D0BD2"/>
    <w:rsid w:val="006D0C10"/>
    <w:rsid w:val="006D0E54"/>
    <w:rsid w:val="006D23F8"/>
    <w:rsid w:val="006D2675"/>
    <w:rsid w:val="006D3119"/>
    <w:rsid w:val="006D50CD"/>
    <w:rsid w:val="006D5C60"/>
    <w:rsid w:val="006D5FC1"/>
    <w:rsid w:val="006D63AB"/>
    <w:rsid w:val="006D68DC"/>
    <w:rsid w:val="006D7C72"/>
    <w:rsid w:val="006E004B"/>
    <w:rsid w:val="006E0F95"/>
    <w:rsid w:val="006E1197"/>
    <w:rsid w:val="006E15E3"/>
    <w:rsid w:val="006E17ED"/>
    <w:rsid w:val="006E2B29"/>
    <w:rsid w:val="006E2BE2"/>
    <w:rsid w:val="006E2F48"/>
    <w:rsid w:val="006E3028"/>
    <w:rsid w:val="006E3061"/>
    <w:rsid w:val="006E3C78"/>
    <w:rsid w:val="006E3F95"/>
    <w:rsid w:val="006E4152"/>
    <w:rsid w:val="006E51CE"/>
    <w:rsid w:val="006E54CD"/>
    <w:rsid w:val="006E6238"/>
    <w:rsid w:val="006E738B"/>
    <w:rsid w:val="006E743A"/>
    <w:rsid w:val="006E7C49"/>
    <w:rsid w:val="006F0457"/>
    <w:rsid w:val="006F0688"/>
    <w:rsid w:val="006F0B6A"/>
    <w:rsid w:val="006F0D13"/>
    <w:rsid w:val="006F0E4F"/>
    <w:rsid w:val="006F193E"/>
    <w:rsid w:val="006F1D72"/>
    <w:rsid w:val="006F2C8F"/>
    <w:rsid w:val="006F2FA8"/>
    <w:rsid w:val="006F304C"/>
    <w:rsid w:val="006F31BB"/>
    <w:rsid w:val="006F3583"/>
    <w:rsid w:val="006F3EDF"/>
    <w:rsid w:val="006F62E6"/>
    <w:rsid w:val="006F6A79"/>
    <w:rsid w:val="006F794A"/>
    <w:rsid w:val="006F7D06"/>
    <w:rsid w:val="00700125"/>
    <w:rsid w:val="0070068D"/>
    <w:rsid w:val="00700954"/>
    <w:rsid w:val="007034D0"/>
    <w:rsid w:val="00705643"/>
    <w:rsid w:val="00705867"/>
    <w:rsid w:val="00705BCE"/>
    <w:rsid w:val="007067B6"/>
    <w:rsid w:val="00706F3D"/>
    <w:rsid w:val="00707120"/>
    <w:rsid w:val="00707360"/>
    <w:rsid w:val="00707602"/>
    <w:rsid w:val="007101B4"/>
    <w:rsid w:val="00710424"/>
    <w:rsid w:val="00710591"/>
    <w:rsid w:val="00710D71"/>
    <w:rsid w:val="007114B7"/>
    <w:rsid w:val="007119A5"/>
    <w:rsid w:val="00711ED0"/>
    <w:rsid w:val="007122EA"/>
    <w:rsid w:val="007125AF"/>
    <w:rsid w:val="00712B97"/>
    <w:rsid w:val="0071373B"/>
    <w:rsid w:val="007137CC"/>
    <w:rsid w:val="00714273"/>
    <w:rsid w:val="007143DA"/>
    <w:rsid w:val="00714B40"/>
    <w:rsid w:val="00714E60"/>
    <w:rsid w:val="00715DF7"/>
    <w:rsid w:val="00715FBB"/>
    <w:rsid w:val="00716AC6"/>
    <w:rsid w:val="00716E1D"/>
    <w:rsid w:val="00717305"/>
    <w:rsid w:val="00717A01"/>
    <w:rsid w:val="00720767"/>
    <w:rsid w:val="0072177C"/>
    <w:rsid w:val="00721B0F"/>
    <w:rsid w:val="00722189"/>
    <w:rsid w:val="007224D0"/>
    <w:rsid w:val="00722F6F"/>
    <w:rsid w:val="00723405"/>
    <w:rsid w:val="00723882"/>
    <w:rsid w:val="007241BC"/>
    <w:rsid w:val="00724CEF"/>
    <w:rsid w:val="00725C97"/>
    <w:rsid w:val="007261D7"/>
    <w:rsid w:val="0072706F"/>
    <w:rsid w:val="00727137"/>
    <w:rsid w:val="00727A17"/>
    <w:rsid w:val="00727BBA"/>
    <w:rsid w:val="007325A2"/>
    <w:rsid w:val="00732857"/>
    <w:rsid w:val="007328CF"/>
    <w:rsid w:val="00732D99"/>
    <w:rsid w:val="0073492C"/>
    <w:rsid w:val="00735048"/>
    <w:rsid w:val="00735526"/>
    <w:rsid w:val="007355D2"/>
    <w:rsid w:val="007360D9"/>
    <w:rsid w:val="00740BD9"/>
    <w:rsid w:val="00741BD7"/>
    <w:rsid w:val="00741C47"/>
    <w:rsid w:val="00742AC3"/>
    <w:rsid w:val="00742C5C"/>
    <w:rsid w:val="00743347"/>
    <w:rsid w:val="00743842"/>
    <w:rsid w:val="00743C10"/>
    <w:rsid w:val="00744469"/>
    <w:rsid w:val="00744E00"/>
    <w:rsid w:val="00745108"/>
    <w:rsid w:val="00745483"/>
    <w:rsid w:val="00745AD8"/>
    <w:rsid w:val="00745DC4"/>
    <w:rsid w:val="0074699A"/>
    <w:rsid w:val="00750029"/>
    <w:rsid w:val="00750300"/>
    <w:rsid w:val="007516A5"/>
    <w:rsid w:val="00751780"/>
    <w:rsid w:val="00751949"/>
    <w:rsid w:val="00751D5F"/>
    <w:rsid w:val="007539E9"/>
    <w:rsid w:val="00753AB7"/>
    <w:rsid w:val="00754325"/>
    <w:rsid w:val="00754562"/>
    <w:rsid w:val="00754C54"/>
    <w:rsid w:val="0075581F"/>
    <w:rsid w:val="00756238"/>
    <w:rsid w:val="0075742A"/>
    <w:rsid w:val="00760577"/>
    <w:rsid w:val="00760F13"/>
    <w:rsid w:val="00761915"/>
    <w:rsid w:val="00761A82"/>
    <w:rsid w:val="00761D08"/>
    <w:rsid w:val="00762239"/>
    <w:rsid w:val="00763124"/>
    <w:rsid w:val="00763B79"/>
    <w:rsid w:val="007645FF"/>
    <w:rsid w:val="00765A34"/>
    <w:rsid w:val="00766BC9"/>
    <w:rsid w:val="00766FB9"/>
    <w:rsid w:val="00767069"/>
    <w:rsid w:val="0076762A"/>
    <w:rsid w:val="0076780C"/>
    <w:rsid w:val="00767FBB"/>
    <w:rsid w:val="00770188"/>
    <w:rsid w:val="00771DB9"/>
    <w:rsid w:val="007724D5"/>
    <w:rsid w:val="00772D6A"/>
    <w:rsid w:val="00773421"/>
    <w:rsid w:val="00773FE4"/>
    <w:rsid w:val="007745FE"/>
    <w:rsid w:val="00774BE8"/>
    <w:rsid w:val="00774E22"/>
    <w:rsid w:val="00775997"/>
    <w:rsid w:val="0077630F"/>
    <w:rsid w:val="00776ACD"/>
    <w:rsid w:val="00777AFE"/>
    <w:rsid w:val="00777F87"/>
    <w:rsid w:val="00780E61"/>
    <w:rsid w:val="00781B40"/>
    <w:rsid w:val="00781DEE"/>
    <w:rsid w:val="00782F93"/>
    <w:rsid w:val="00783280"/>
    <w:rsid w:val="0078348A"/>
    <w:rsid w:val="0078439E"/>
    <w:rsid w:val="00784FCF"/>
    <w:rsid w:val="0078567D"/>
    <w:rsid w:val="00786307"/>
    <w:rsid w:val="007909B3"/>
    <w:rsid w:val="007926D5"/>
    <w:rsid w:val="007933DD"/>
    <w:rsid w:val="007937C5"/>
    <w:rsid w:val="007942AD"/>
    <w:rsid w:val="00795F00"/>
    <w:rsid w:val="00796363"/>
    <w:rsid w:val="00796BF0"/>
    <w:rsid w:val="00797C38"/>
    <w:rsid w:val="007A00D5"/>
    <w:rsid w:val="007A02DF"/>
    <w:rsid w:val="007A0429"/>
    <w:rsid w:val="007A0E66"/>
    <w:rsid w:val="007A106F"/>
    <w:rsid w:val="007A2498"/>
    <w:rsid w:val="007A24BB"/>
    <w:rsid w:val="007A29D4"/>
    <w:rsid w:val="007A3C20"/>
    <w:rsid w:val="007A4238"/>
    <w:rsid w:val="007A430C"/>
    <w:rsid w:val="007A5BDE"/>
    <w:rsid w:val="007A7334"/>
    <w:rsid w:val="007A748C"/>
    <w:rsid w:val="007B062B"/>
    <w:rsid w:val="007B13FA"/>
    <w:rsid w:val="007B1D47"/>
    <w:rsid w:val="007B1E4F"/>
    <w:rsid w:val="007B28FD"/>
    <w:rsid w:val="007B2E46"/>
    <w:rsid w:val="007B348B"/>
    <w:rsid w:val="007B3B43"/>
    <w:rsid w:val="007B4778"/>
    <w:rsid w:val="007B48BA"/>
    <w:rsid w:val="007B4A01"/>
    <w:rsid w:val="007B4AFC"/>
    <w:rsid w:val="007B4F7A"/>
    <w:rsid w:val="007B5150"/>
    <w:rsid w:val="007B601C"/>
    <w:rsid w:val="007B6A7F"/>
    <w:rsid w:val="007B7908"/>
    <w:rsid w:val="007B7955"/>
    <w:rsid w:val="007C07F9"/>
    <w:rsid w:val="007C11F4"/>
    <w:rsid w:val="007C17FC"/>
    <w:rsid w:val="007C2155"/>
    <w:rsid w:val="007C2A47"/>
    <w:rsid w:val="007C2C4A"/>
    <w:rsid w:val="007C2DEA"/>
    <w:rsid w:val="007C32BD"/>
    <w:rsid w:val="007C33B5"/>
    <w:rsid w:val="007C34A5"/>
    <w:rsid w:val="007C4CD5"/>
    <w:rsid w:val="007C52B7"/>
    <w:rsid w:val="007C5542"/>
    <w:rsid w:val="007C58E4"/>
    <w:rsid w:val="007C5C1F"/>
    <w:rsid w:val="007C5EDE"/>
    <w:rsid w:val="007C61F7"/>
    <w:rsid w:val="007C6E99"/>
    <w:rsid w:val="007C7142"/>
    <w:rsid w:val="007C7AFB"/>
    <w:rsid w:val="007D01A0"/>
    <w:rsid w:val="007D04AD"/>
    <w:rsid w:val="007D0603"/>
    <w:rsid w:val="007D0A9F"/>
    <w:rsid w:val="007D0D66"/>
    <w:rsid w:val="007D1A82"/>
    <w:rsid w:val="007D1D08"/>
    <w:rsid w:val="007D25AD"/>
    <w:rsid w:val="007D2A65"/>
    <w:rsid w:val="007D40C4"/>
    <w:rsid w:val="007D41E2"/>
    <w:rsid w:val="007D4ED5"/>
    <w:rsid w:val="007D6641"/>
    <w:rsid w:val="007D7195"/>
    <w:rsid w:val="007D7349"/>
    <w:rsid w:val="007D76C4"/>
    <w:rsid w:val="007D78F4"/>
    <w:rsid w:val="007D7EEF"/>
    <w:rsid w:val="007D7FDE"/>
    <w:rsid w:val="007E05B5"/>
    <w:rsid w:val="007E06E3"/>
    <w:rsid w:val="007E0752"/>
    <w:rsid w:val="007E08B4"/>
    <w:rsid w:val="007E0AC6"/>
    <w:rsid w:val="007E0D7B"/>
    <w:rsid w:val="007E16E6"/>
    <w:rsid w:val="007E32BD"/>
    <w:rsid w:val="007E656C"/>
    <w:rsid w:val="007E6919"/>
    <w:rsid w:val="007E79BB"/>
    <w:rsid w:val="007F09E0"/>
    <w:rsid w:val="007F0EBD"/>
    <w:rsid w:val="007F2CA7"/>
    <w:rsid w:val="007F2FA3"/>
    <w:rsid w:val="007F312E"/>
    <w:rsid w:val="007F31D9"/>
    <w:rsid w:val="007F353D"/>
    <w:rsid w:val="007F3847"/>
    <w:rsid w:val="007F3890"/>
    <w:rsid w:val="007F3975"/>
    <w:rsid w:val="007F4106"/>
    <w:rsid w:val="007F5D85"/>
    <w:rsid w:val="007F5E32"/>
    <w:rsid w:val="007F664B"/>
    <w:rsid w:val="007F6C77"/>
    <w:rsid w:val="007F722E"/>
    <w:rsid w:val="007F7693"/>
    <w:rsid w:val="008004F5"/>
    <w:rsid w:val="00800D8F"/>
    <w:rsid w:val="00801868"/>
    <w:rsid w:val="00801956"/>
    <w:rsid w:val="00802183"/>
    <w:rsid w:val="00802A9E"/>
    <w:rsid w:val="00802F87"/>
    <w:rsid w:val="00803155"/>
    <w:rsid w:val="00803A06"/>
    <w:rsid w:val="00806401"/>
    <w:rsid w:val="008073E6"/>
    <w:rsid w:val="00807B58"/>
    <w:rsid w:val="00811BB0"/>
    <w:rsid w:val="00811DBB"/>
    <w:rsid w:val="00812210"/>
    <w:rsid w:val="0081223B"/>
    <w:rsid w:val="00812C84"/>
    <w:rsid w:val="00813336"/>
    <w:rsid w:val="00814B70"/>
    <w:rsid w:val="00815AFF"/>
    <w:rsid w:val="00816354"/>
    <w:rsid w:val="00816666"/>
    <w:rsid w:val="0081751F"/>
    <w:rsid w:val="0081754F"/>
    <w:rsid w:val="00817EBC"/>
    <w:rsid w:val="0082003B"/>
    <w:rsid w:val="00820C60"/>
    <w:rsid w:val="00820E63"/>
    <w:rsid w:val="00821160"/>
    <w:rsid w:val="008217DB"/>
    <w:rsid w:val="0082184D"/>
    <w:rsid w:val="00821983"/>
    <w:rsid w:val="0082199A"/>
    <w:rsid w:val="00822DD6"/>
    <w:rsid w:val="00822F6F"/>
    <w:rsid w:val="00823DE5"/>
    <w:rsid w:val="00823EFA"/>
    <w:rsid w:val="008246A6"/>
    <w:rsid w:val="00824C0F"/>
    <w:rsid w:val="00825C9C"/>
    <w:rsid w:val="00825F06"/>
    <w:rsid w:val="0082604B"/>
    <w:rsid w:val="0082614F"/>
    <w:rsid w:val="0082622E"/>
    <w:rsid w:val="0082661B"/>
    <w:rsid w:val="00826B58"/>
    <w:rsid w:val="00826D44"/>
    <w:rsid w:val="00827634"/>
    <w:rsid w:val="00827916"/>
    <w:rsid w:val="00827C0D"/>
    <w:rsid w:val="00827DC9"/>
    <w:rsid w:val="00827DE2"/>
    <w:rsid w:val="0083042C"/>
    <w:rsid w:val="0083058B"/>
    <w:rsid w:val="0083125D"/>
    <w:rsid w:val="0083186B"/>
    <w:rsid w:val="0083221A"/>
    <w:rsid w:val="008325C4"/>
    <w:rsid w:val="008325DA"/>
    <w:rsid w:val="00832D5A"/>
    <w:rsid w:val="00833A0C"/>
    <w:rsid w:val="00833A84"/>
    <w:rsid w:val="008344F7"/>
    <w:rsid w:val="008346FB"/>
    <w:rsid w:val="00834762"/>
    <w:rsid w:val="00834825"/>
    <w:rsid w:val="00834D94"/>
    <w:rsid w:val="0083547E"/>
    <w:rsid w:val="00835688"/>
    <w:rsid w:val="00835BBC"/>
    <w:rsid w:val="00837999"/>
    <w:rsid w:val="008379F4"/>
    <w:rsid w:val="008400A3"/>
    <w:rsid w:val="0084029C"/>
    <w:rsid w:val="008407EE"/>
    <w:rsid w:val="00842AB8"/>
    <w:rsid w:val="0084366E"/>
    <w:rsid w:val="0084390C"/>
    <w:rsid w:val="00843B31"/>
    <w:rsid w:val="00844D2C"/>
    <w:rsid w:val="008450B0"/>
    <w:rsid w:val="00845B57"/>
    <w:rsid w:val="00845E27"/>
    <w:rsid w:val="00846510"/>
    <w:rsid w:val="00846514"/>
    <w:rsid w:val="008473C5"/>
    <w:rsid w:val="008504B5"/>
    <w:rsid w:val="00850EFB"/>
    <w:rsid w:val="00851B6E"/>
    <w:rsid w:val="00851DBD"/>
    <w:rsid w:val="00851ED1"/>
    <w:rsid w:val="00852392"/>
    <w:rsid w:val="008528CB"/>
    <w:rsid w:val="00853079"/>
    <w:rsid w:val="008533E4"/>
    <w:rsid w:val="00853CBC"/>
    <w:rsid w:val="00855149"/>
    <w:rsid w:val="008557C6"/>
    <w:rsid w:val="008577BA"/>
    <w:rsid w:val="00857F10"/>
    <w:rsid w:val="008607BD"/>
    <w:rsid w:val="00860A63"/>
    <w:rsid w:val="00860E74"/>
    <w:rsid w:val="00860E86"/>
    <w:rsid w:val="00862AF0"/>
    <w:rsid w:val="008633F7"/>
    <w:rsid w:val="0086425D"/>
    <w:rsid w:val="00864620"/>
    <w:rsid w:val="00865A29"/>
    <w:rsid w:val="008660BF"/>
    <w:rsid w:val="00866C9F"/>
    <w:rsid w:val="008671A5"/>
    <w:rsid w:val="008674D7"/>
    <w:rsid w:val="00867752"/>
    <w:rsid w:val="008704DD"/>
    <w:rsid w:val="00871A7E"/>
    <w:rsid w:val="008735A9"/>
    <w:rsid w:val="0087389D"/>
    <w:rsid w:val="0087393D"/>
    <w:rsid w:val="00874D53"/>
    <w:rsid w:val="008750A7"/>
    <w:rsid w:val="00876C88"/>
    <w:rsid w:val="008770F6"/>
    <w:rsid w:val="008771D1"/>
    <w:rsid w:val="00877221"/>
    <w:rsid w:val="0088145B"/>
    <w:rsid w:val="00881FD0"/>
    <w:rsid w:val="008824D7"/>
    <w:rsid w:val="00882754"/>
    <w:rsid w:val="008840E8"/>
    <w:rsid w:val="00884A19"/>
    <w:rsid w:val="00884DDB"/>
    <w:rsid w:val="0088505E"/>
    <w:rsid w:val="0088514D"/>
    <w:rsid w:val="00885A0C"/>
    <w:rsid w:val="00886365"/>
    <w:rsid w:val="00886A05"/>
    <w:rsid w:val="008870BF"/>
    <w:rsid w:val="0088731E"/>
    <w:rsid w:val="00887488"/>
    <w:rsid w:val="00887EA5"/>
    <w:rsid w:val="00887F4C"/>
    <w:rsid w:val="00890C24"/>
    <w:rsid w:val="00892A7A"/>
    <w:rsid w:val="00892D30"/>
    <w:rsid w:val="00892EE4"/>
    <w:rsid w:val="008931AC"/>
    <w:rsid w:val="00893809"/>
    <w:rsid w:val="00893925"/>
    <w:rsid w:val="00893EDA"/>
    <w:rsid w:val="008941B1"/>
    <w:rsid w:val="00894425"/>
    <w:rsid w:val="008944F4"/>
    <w:rsid w:val="00894BC8"/>
    <w:rsid w:val="00895293"/>
    <w:rsid w:val="00895E43"/>
    <w:rsid w:val="00895FC6"/>
    <w:rsid w:val="0089607C"/>
    <w:rsid w:val="00896312"/>
    <w:rsid w:val="00896515"/>
    <w:rsid w:val="00897342"/>
    <w:rsid w:val="008A0C9C"/>
    <w:rsid w:val="008A184F"/>
    <w:rsid w:val="008A1CBA"/>
    <w:rsid w:val="008A1F00"/>
    <w:rsid w:val="008A22C8"/>
    <w:rsid w:val="008A2B76"/>
    <w:rsid w:val="008A3AF4"/>
    <w:rsid w:val="008A448E"/>
    <w:rsid w:val="008A4DF1"/>
    <w:rsid w:val="008A6651"/>
    <w:rsid w:val="008A6CD6"/>
    <w:rsid w:val="008B0864"/>
    <w:rsid w:val="008B1424"/>
    <w:rsid w:val="008B1F2A"/>
    <w:rsid w:val="008B44A6"/>
    <w:rsid w:val="008B4A63"/>
    <w:rsid w:val="008B4AC5"/>
    <w:rsid w:val="008B4BB5"/>
    <w:rsid w:val="008B4FD3"/>
    <w:rsid w:val="008B50A5"/>
    <w:rsid w:val="008B57B9"/>
    <w:rsid w:val="008B595A"/>
    <w:rsid w:val="008B5BDE"/>
    <w:rsid w:val="008B6246"/>
    <w:rsid w:val="008B629D"/>
    <w:rsid w:val="008B725E"/>
    <w:rsid w:val="008B772C"/>
    <w:rsid w:val="008B79DF"/>
    <w:rsid w:val="008C02D0"/>
    <w:rsid w:val="008C0A72"/>
    <w:rsid w:val="008C154C"/>
    <w:rsid w:val="008C1716"/>
    <w:rsid w:val="008C2130"/>
    <w:rsid w:val="008C2800"/>
    <w:rsid w:val="008C2EDB"/>
    <w:rsid w:val="008C3CBE"/>
    <w:rsid w:val="008C4B42"/>
    <w:rsid w:val="008C7124"/>
    <w:rsid w:val="008C7E44"/>
    <w:rsid w:val="008C7EB7"/>
    <w:rsid w:val="008D0E76"/>
    <w:rsid w:val="008D14A9"/>
    <w:rsid w:val="008D1AAF"/>
    <w:rsid w:val="008D24DB"/>
    <w:rsid w:val="008D27B7"/>
    <w:rsid w:val="008D2A4C"/>
    <w:rsid w:val="008D2E6F"/>
    <w:rsid w:val="008D31F4"/>
    <w:rsid w:val="008D37EC"/>
    <w:rsid w:val="008D3806"/>
    <w:rsid w:val="008D3987"/>
    <w:rsid w:val="008D449D"/>
    <w:rsid w:val="008D44AA"/>
    <w:rsid w:val="008D45C1"/>
    <w:rsid w:val="008D4C14"/>
    <w:rsid w:val="008D51E7"/>
    <w:rsid w:val="008D56B0"/>
    <w:rsid w:val="008D72E0"/>
    <w:rsid w:val="008D7771"/>
    <w:rsid w:val="008D7E8B"/>
    <w:rsid w:val="008E0A82"/>
    <w:rsid w:val="008E1D55"/>
    <w:rsid w:val="008E2245"/>
    <w:rsid w:val="008E2CA1"/>
    <w:rsid w:val="008E2FF5"/>
    <w:rsid w:val="008E39FA"/>
    <w:rsid w:val="008E3E7B"/>
    <w:rsid w:val="008E6069"/>
    <w:rsid w:val="008E6F7E"/>
    <w:rsid w:val="008E7C4D"/>
    <w:rsid w:val="008E7F17"/>
    <w:rsid w:val="008F01C0"/>
    <w:rsid w:val="008F12AA"/>
    <w:rsid w:val="008F16DE"/>
    <w:rsid w:val="008F1A4F"/>
    <w:rsid w:val="008F271B"/>
    <w:rsid w:val="008F2722"/>
    <w:rsid w:val="008F33D5"/>
    <w:rsid w:val="008F3C1D"/>
    <w:rsid w:val="008F448C"/>
    <w:rsid w:val="008F4F52"/>
    <w:rsid w:val="008F569E"/>
    <w:rsid w:val="008F617D"/>
    <w:rsid w:val="008F649D"/>
    <w:rsid w:val="008F6A9C"/>
    <w:rsid w:val="008F7AF7"/>
    <w:rsid w:val="00900152"/>
    <w:rsid w:val="009003A0"/>
    <w:rsid w:val="00901E11"/>
    <w:rsid w:val="00902061"/>
    <w:rsid w:val="009020FD"/>
    <w:rsid w:val="00902516"/>
    <w:rsid w:val="00902EFF"/>
    <w:rsid w:val="0090394D"/>
    <w:rsid w:val="00904143"/>
    <w:rsid w:val="00904392"/>
    <w:rsid w:val="00905625"/>
    <w:rsid w:val="00905DCF"/>
    <w:rsid w:val="009062E4"/>
    <w:rsid w:val="0090637D"/>
    <w:rsid w:val="00906611"/>
    <w:rsid w:val="00907253"/>
    <w:rsid w:val="0090769B"/>
    <w:rsid w:val="00907B6A"/>
    <w:rsid w:val="0091058F"/>
    <w:rsid w:val="009108B8"/>
    <w:rsid w:val="00910B8F"/>
    <w:rsid w:val="00911F1B"/>
    <w:rsid w:val="00912426"/>
    <w:rsid w:val="00912704"/>
    <w:rsid w:val="00912A95"/>
    <w:rsid w:val="009130EC"/>
    <w:rsid w:val="009137E2"/>
    <w:rsid w:val="00913D87"/>
    <w:rsid w:val="009141A8"/>
    <w:rsid w:val="00915686"/>
    <w:rsid w:val="00916F2D"/>
    <w:rsid w:val="00917757"/>
    <w:rsid w:val="00917916"/>
    <w:rsid w:val="00917D1F"/>
    <w:rsid w:val="00920825"/>
    <w:rsid w:val="009208FB"/>
    <w:rsid w:val="00921080"/>
    <w:rsid w:val="00921B19"/>
    <w:rsid w:val="00922514"/>
    <w:rsid w:val="009228E3"/>
    <w:rsid w:val="00922AF0"/>
    <w:rsid w:val="009251D3"/>
    <w:rsid w:val="00925A8C"/>
    <w:rsid w:val="00925C4D"/>
    <w:rsid w:val="0092631F"/>
    <w:rsid w:val="009264DD"/>
    <w:rsid w:val="009264E7"/>
    <w:rsid w:val="0092695A"/>
    <w:rsid w:val="00926B60"/>
    <w:rsid w:val="0092700E"/>
    <w:rsid w:val="00927831"/>
    <w:rsid w:val="00927ECD"/>
    <w:rsid w:val="0093047E"/>
    <w:rsid w:val="00930FD8"/>
    <w:rsid w:val="009314EC"/>
    <w:rsid w:val="00932455"/>
    <w:rsid w:val="009326A8"/>
    <w:rsid w:val="009341B4"/>
    <w:rsid w:val="009342AC"/>
    <w:rsid w:val="00935CD9"/>
    <w:rsid w:val="009367D0"/>
    <w:rsid w:val="00937628"/>
    <w:rsid w:val="009407CD"/>
    <w:rsid w:val="00941491"/>
    <w:rsid w:val="00941528"/>
    <w:rsid w:val="00943247"/>
    <w:rsid w:val="00943520"/>
    <w:rsid w:val="0094372F"/>
    <w:rsid w:val="00943EDF"/>
    <w:rsid w:val="0094475D"/>
    <w:rsid w:val="00945AD3"/>
    <w:rsid w:val="00946866"/>
    <w:rsid w:val="00947733"/>
    <w:rsid w:val="00947A4C"/>
    <w:rsid w:val="00950395"/>
    <w:rsid w:val="009503B8"/>
    <w:rsid w:val="0095040C"/>
    <w:rsid w:val="009508D9"/>
    <w:rsid w:val="00950B72"/>
    <w:rsid w:val="00950CC4"/>
    <w:rsid w:val="009514A1"/>
    <w:rsid w:val="00951B74"/>
    <w:rsid w:val="009526BA"/>
    <w:rsid w:val="0095365D"/>
    <w:rsid w:val="00953D66"/>
    <w:rsid w:val="00954235"/>
    <w:rsid w:val="00954470"/>
    <w:rsid w:val="00954471"/>
    <w:rsid w:val="00954845"/>
    <w:rsid w:val="00954956"/>
    <w:rsid w:val="009559E4"/>
    <w:rsid w:val="00955B9E"/>
    <w:rsid w:val="00955C8A"/>
    <w:rsid w:val="0095627B"/>
    <w:rsid w:val="009563BB"/>
    <w:rsid w:val="00956640"/>
    <w:rsid w:val="00957271"/>
    <w:rsid w:val="009576E4"/>
    <w:rsid w:val="00957813"/>
    <w:rsid w:val="00957A04"/>
    <w:rsid w:val="00957E37"/>
    <w:rsid w:val="00957FC4"/>
    <w:rsid w:val="009603D0"/>
    <w:rsid w:val="00960870"/>
    <w:rsid w:val="00960BF0"/>
    <w:rsid w:val="00960F97"/>
    <w:rsid w:val="0096153B"/>
    <w:rsid w:val="00961623"/>
    <w:rsid w:val="009637A0"/>
    <w:rsid w:val="0096486F"/>
    <w:rsid w:val="00965100"/>
    <w:rsid w:val="00965AF2"/>
    <w:rsid w:val="00966D00"/>
    <w:rsid w:val="009716F2"/>
    <w:rsid w:val="00972F22"/>
    <w:rsid w:val="0097329A"/>
    <w:rsid w:val="009734BD"/>
    <w:rsid w:val="00975C25"/>
    <w:rsid w:val="00975C85"/>
    <w:rsid w:val="009766A1"/>
    <w:rsid w:val="00976C98"/>
    <w:rsid w:val="00977552"/>
    <w:rsid w:val="00980D01"/>
    <w:rsid w:val="0098132C"/>
    <w:rsid w:val="009814DD"/>
    <w:rsid w:val="00981872"/>
    <w:rsid w:val="00982402"/>
    <w:rsid w:val="00983D5F"/>
    <w:rsid w:val="00985AB3"/>
    <w:rsid w:val="00985DD2"/>
    <w:rsid w:val="0098660E"/>
    <w:rsid w:val="0098677B"/>
    <w:rsid w:val="00986BBD"/>
    <w:rsid w:val="009874E6"/>
    <w:rsid w:val="00987987"/>
    <w:rsid w:val="00991EC1"/>
    <w:rsid w:val="009921AC"/>
    <w:rsid w:val="00994D71"/>
    <w:rsid w:val="00995616"/>
    <w:rsid w:val="00995ED3"/>
    <w:rsid w:val="00996593"/>
    <w:rsid w:val="009969D7"/>
    <w:rsid w:val="00997118"/>
    <w:rsid w:val="009974CC"/>
    <w:rsid w:val="00997739"/>
    <w:rsid w:val="009978D4"/>
    <w:rsid w:val="00997EF3"/>
    <w:rsid w:val="00997F9E"/>
    <w:rsid w:val="009A00F9"/>
    <w:rsid w:val="009A031F"/>
    <w:rsid w:val="009A19F3"/>
    <w:rsid w:val="009A1F5D"/>
    <w:rsid w:val="009A1FF0"/>
    <w:rsid w:val="009A2085"/>
    <w:rsid w:val="009A2EF1"/>
    <w:rsid w:val="009A3696"/>
    <w:rsid w:val="009A3BC1"/>
    <w:rsid w:val="009A3F75"/>
    <w:rsid w:val="009A4537"/>
    <w:rsid w:val="009A4775"/>
    <w:rsid w:val="009A47E3"/>
    <w:rsid w:val="009A55CF"/>
    <w:rsid w:val="009A586D"/>
    <w:rsid w:val="009A6208"/>
    <w:rsid w:val="009A67C9"/>
    <w:rsid w:val="009A6BC1"/>
    <w:rsid w:val="009A6D05"/>
    <w:rsid w:val="009A7820"/>
    <w:rsid w:val="009A7F14"/>
    <w:rsid w:val="009B04AF"/>
    <w:rsid w:val="009B0755"/>
    <w:rsid w:val="009B0DDF"/>
    <w:rsid w:val="009B20AD"/>
    <w:rsid w:val="009B21B3"/>
    <w:rsid w:val="009B31E6"/>
    <w:rsid w:val="009B3682"/>
    <w:rsid w:val="009B3C98"/>
    <w:rsid w:val="009B4A71"/>
    <w:rsid w:val="009B4BFB"/>
    <w:rsid w:val="009B4C6F"/>
    <w:rsid w:val="009B563C"/>
    <w:rsid w:val="009B5D6E"/>
    <w:rsid w:val="009B6791"/>
    <w:rsid w:val="009B764C"/>
    <w:rsid w:val="009B7955"/>
    <w:rsid w:val="009B7B83"/>
    <w:rsid w:val="009C06CA"/>
    <w:rsid w:val="009C09FE"/>
    <w:rsid w:val="009C1A52"/>
    <w:rsid w:val="009C1AE3"/>
    <w:rsid w:val="009C2B2F"/>
    <w:rsid w:val="009C4710"/>
    <w:rsid w:val="009C4E2C"/>
    <w:rsid w:val="009C5A25"/>
    <w:rsid w:val="009C6033"/>
    <w:rsid w:val="009C6D75"/>
    <w:rsid w:val="009C76E3"/>
    <w:rsid w:val="009D0026"/>
    <w:rsid w:val="009D12BB"/>
    <w:rsid w:val="009D209A"/>
    <w:rsid w:val="009D3683"/>
    <w:rsid w:val="009D393E"/>
    <w:rsid w:val="009D39AB"/>
    <w:rsid w:val="009D40CA"/>
    <w:rsid w:val="009D430B"/>
    <w:rsid w:val="009D5532"/>
    <w:rsid w:val="009D577D"/>
    <w:rsid w:val="009D5A45"/>
    <w:rsid w:val="009D5CA0"/>
    <w:rsid w:val="009D60C2"/>
    <w:rsid w:val="009D614B"/>
    <w:rsid w:val="009D68B9"/>
    <w:rsid w:val="009D6BE7"/>
    <w:rsid w:val="009D7551"/>
    <w:rsid w:val="009D788B"/>
    <w:rsid w:val="009E0162"/>
    <w:rsid w:val="009E1083"/>
    <w:rsid w:val="009E1713"/>
    <w:rsid w:val="009E1838"/>
    <w:rsid w:val="009E2221"/>
    <w:rsid w:val="009E2A58"/>
    <w:rsid w:val="009E3156"/>
    <w:rsid w:val="009E4BA8"/>
    <w:rsid w:val="009E52D7"/>
    <w:rsid w:val="009E639B"/>
    <w:rsid w:val="009E682C"/>
    <w:rsid w:val="009E6A28"/>
    <w:rsid w:val="009E6EC6"/>
    <w:rsid w:val="009E7131"/>
    <w:rsid w:val="009E781A"/>
    <w:rsid w:val="009F1AFE"/>
    <w:rsid w:val="009F3324"/>
    <w:rsid w:val="009F5D22"/>
    <w:rsid w:val="009F6F38"/>
    <w:rsid w:val="009F7A1C"/>
    <w:rsid w:val="00A000CA"/>
    <w:rsid w:val="00A00639"/>
    <w:rsid w:val="00A01489"/>
    <w:rsid w:val="00A01B7C"/>
    <w:rsid w:val="00A01E00"/>
    <w:rsid w:val="00A0221A"/>
    <w:rsid w:val="00A0394D"/>
    <w:rsid w:val="00A04837"/>
    <w:rsid w:val="00A052A3"/>
    <w:rsid w:val="00A05DD2"/>
    <w:rsid w:val="00A06286"/>
    <w:rsid w:val="00A064CC"/>
    <w:rsid w:val="00A075D5"/>
    <w:rsid w:val="00A104FC"/>
    <w:rsid w:val="00A108C3"/>
    <w:rsid w:val="00A10B2D"/>
    <w:rsid w:val="00A110F7"/>
    <w:rsid w:val="00A11AA1"/>
    <w:rsid w:val="00A124D9"/>
    <w:rsid w:val="00A129F3"/>
    <w:rsid w:val="00A12E28"/>
    <w:rsid w:val="00A137F7"/>
    <w:rsid w:val="00A13982"/>
    <w:rsid w:val="00A13B42"/>
    <w:rsid w:val="00A142FF"/>
    <w:rsid w:val="00A147DB"/>
    <w:rsid w:val="00A14D09"/>
    <w:rsid w:val="00A14DE7"/>
    <w:rsid w:val="00A15A25"/>
    <w:rsid w:val="00A15B7C"/>
    <w:rsid w:val="00A160AD"/>
    <w:rsid w:val="00A161A9"/>
    <w:rsid w:val="00A1669E"/>
    <w:rsid w:val="00A16D17"/>
    <w:rsid w:val="00A16EFD"/>
    <w:rsid w:val="00A174D4"/>
    <w:rsid w:val="00A20BC5"/>
    <w:rsid w:val="00A21054"/>
    <w:rsid w:val="00A21497"/>
    <w:rsid w:val="00A2228C"/>
    <w:rsid w:val="00A22750"/>
    <w:rsid w:val="00A231DE"/>
    <w:rsid w:val="00A24DA0"/>
    <w:rsid w:val="00A24DBB"/>
    <w:rsid w:val="00A25B0F"/>
    <w:rsid w:val="00A26209"/>
    <w:rsid w:val="00A2713E"/>
    <w:rsid w:val="00A271B5"/>
    <w:rsid w:val="00A274D6"/>
    <w:rsid w:val="00A276D8"/>
    <w:rsid w:val="00A27CEB"/>
    <w:rsid w:val="00A27F1A"/>
    <w:rsid w:val="00A301EC"/>
    <w:rsid w:val="00A3041C"/>
    <w:rsid w:val="00A3172A"/>
    <w:rsid w:val="00A3172D"/>
    <w:rsid w:val="00A32929"/>
    <w:rsid w:val="00A33336"/>
    <w:rsid w:val="00A33B5D"/>
    <w:rsid w:val="00A33CC7"/>
    <w:rsid w:val="00A34F03"/>
    <w:rsid w:val="00A35435"/>
    <w:rsid w:val="00A35DA0"/>
    <w:rsid w:val="00A374B1"/>
    <w:rsid w:val="00A400D9"/>
    <w:rsid w:val="00A413F7"/>
    <w:rsid w:val="00A41973"/>
    <w:rsid w:val="00A420CE"/>
    <w:rsid w:val="00A4271C"/>
    <w:rsid w:val="00A42774"/>
    <w:rsid w:val="00A43410"/>
    <w:rsid w:val="00A43695"/>
    <w:rsid w:val="00A43DB9"/>
    <w:rsid w:val="00A440C8"/>
    <w:rsid w:val="00A44630"/>
    <w:rsid w:val="00A44D94"/>
    <w:rsid w:val="00A44E07"/>
    <w:rsid w:val="00A45128"/>
    <w:rsid w:val="00A4517E"/>
    <w:rsid w:val="00A45357"/>
    <w:rsid w:val="00A463E7"/>
    <w:rsid w:val="00A47081"/>
    <w:rsid w:val="00A474D6"/>
    <w:rsid w:val="00A502E5"/>
    <w:rsid w:val="00A5076A"/>
    <w:rsid w:val="00A5145B"/>
    <w:rsid w:val="00A51B13"/>
    <w:rsid w:val="00A51DC1"/>
    <w:rsid w:val="00A52030"/>
    <w:rsid w:val="00A521F4"/>
    <w:rsid w:val="00A5313B"/>
    <w:rsid w:val="00A53B08"/>
    <w:rsid w:val="00A54254"/>
    <w:rsid w:val="00A544A4"/>
    <w:rsid w:val="00A54563"/>
    <w:rsid w:val="00A547C5"/>
    <w:rsid w:val="00A5547F"/>
    <w:rsid w:val="00A5727A"/>
    <w:rsid w:val="00A604A4"/>
    <w:rsid w:val="00A6076A"/>
    <w:rsid w:val="00A60894"/>
    <w:rsid w:val="00A6165A"/>
    <w:rsid w:val="00A627E3"/>
    <w:rsid w:val="00A6296B"/>
    <w:rsid w:val="00A62BF9"/>
    <w:rsid w:val="00A63363"/>
    <w:rsid w:val="00A640D3"/>
    <w:rsid w:val="00A644C5"/>
    <w:rsid w:val="00A654CA"/>
    <w:rsid w:val="00A662D6"/>
    <w:rsid w:val="00A669E3"/>
    <w:rsid w:val="00A675BA"/>
    <w:rsid w:val="00A67864"/>
    <w:rsid w:val="00A67EC1"/>
    <w:rsid w:val="00A67FF0"/>
    <w:rsid w:val="00A70962"/>
    <w:rsid w:val="00A70B4A"/>
    <w:rsid w:val="00A71494"/>
    <w:rsid w:val="00A718F2"/>
    <w:rsid w:val="00A71977"/>
    <w:rsid w:val="00A71B9D"/>
    <w:rsid w:val="00A72622"/>
    <w:rsid w:val="00A72AB9"/>
    <w:rsid w:val="00A72CD4"/>
    <w:rsid w:val="00A73240"/>
    <w:rsid w:val="00A7325E"/>
    <w:rsid w:val="00A7345B"/>
    <w:rsid w:val="00A7352E"/>
    <w:rsid w:val="00A7426B"/>
    <w:rsid w:val="00A76613"/>
    <w:rsid w:val="00A77DC2"/>
    <w:rsid w:val="00A80687"/>
    <w:rsid w:val="00A816B2"/>
    <w:rsid w:val="00A82F5A"/>
    <w:rsid w:val="00A83598"/>
    <w:rsid w:val="00A83E10"/>
    <w:rsid w:val="00A840B1"/>
    <w:rsid w:val="00A84468"/>
    <w:rsid w:val="00A845C7"/>
    <w:rsid w:val="00A854A3"/>
    <w:rsid w:val="00A85EEF"/>
    <w:rsid w:val="00A861D2"/>
    <w:rsid w:val="00A8649F"/>
    <w:rsid w:val="00A90165"/>
    <w:rsid w:val="00A90C4D"/>
    <w:rsid w:val="00A90F20"/>
    <w:rsid w:val="00A9185E"/>
    <w:rsid w:val="00A91DBE"/>
    <w:rsid w:val="00A938F3"/>
    <w:rsid w:val="00A948E9"/>
    <w:rsid w:val="00A94ECC"/>
    <w:rsid w:val="00A950DB"/>
    <w:rsid w:val="00A955DC"/>
    <w:rsid w:val="00A95D14"/>
    <w:rsid w:val="00A95E94"/>
    <w:rsid w:val="00A95F76"/>
    <w:rsid w:val="00A96DD3"/>
    <w:rsid w:val="00A97476"/>
    <w:rsid w:val="00A978EA"/>
    <w:rsid w:val="00A97CE2"/>
    <w:rsid w:val="00AA04B6"/>
    <w:rsid w:val="00AA0729"/>
    <w:rsid w:val="00AA2423"/>
    <w:rsid w:val="00AA282C"/>
    <w:rsid w:val="00AA298A"/>
    <w:rsid w:val="00AA2C91"/>
    <w:rsid w:val="00AA3F50"/>
    <w:rsid w:val="00AA42D6"/>
    <w:rsid w:val="00AA42EB"/>
    <w:rsid w:val="00AA4B9B"/>
    <w:rsid w:val="00AA572E"/>
    <w:rsid w:val="00AA6F71"/>
    <w:rsid w:val="00AA7979"/>
    <w:rsid w:val="00AB0687"/>
    <w:rsid w:val="00AB1B38"/>
    <w:rsid w:val="00AB1EE4"/>
    <w:rsid w:val="00AB2E25"/>
    <w:rsid w:val="00AB33B7"/>
    <w:rsid w:val="00AB3936"/>
    <w:rsid w:val="00AB3BAE"/>
    <w:rsid w:val="00AB3BCE"/>
    <w:rsid w:val="00AB3C59"/>
    <w:rsid w:val="00AB3FF2"/>
    <w:rsid w:val="00AB4418"/>
    <w:rsid w:val="00AB4E95"/>
    <w:rsid w:val="00AB588A"/>
    <w:rsid w:val="00AB5BE4"/>
    <w:rsid w:val="00AB5E04"/>
    <w:rsid w:val="00AB6B36"/>
    <w:rsid w:val="00AB6D2A"/>
    <w:rsid w:val="00AB717C"/>
    <w:rsid w:val="00AB72BA"/>
    <w:rsid w:val="00AB7AC9"/>
    <w:rsid w:val="00AC0073"/>
    <w:rsid w:val="00AC0FC8"/>
    <w:rsid w:val="00AC12E6"/>
    <w:rsid w:val="00AC18C7"/>
    <w:rsid w:val="00AC22CF"/>
    <w:rsid w:val="00AC3986"/>
    <w:rsid w:val="00AC4978"/>
    <w:rsid w:val="00AC65CC"/>
    <w:rsid w:val="00AC66D2"/>
    <w:rsid w:val="00AC7072"/>
    <w:rsid w:val="00AC757D"/>
    <w:rsid w:val="00AD1582"/>
    <w:rsid w:val="00AD272E"/>
    <w:rsid w:val="00AD279E"/>
    <w:rsid w:val="00AD2999"/>
    <w:rsid w:val="00AD36F9"/>
    <w:rsid w:val="00AD370F"/>
    <w:rsid w:val="00AD3812"/>
    <w:rsid w:val="00AD4377"/>
    <w:rsid w:val="00AD4F26"/>
    <w:rsid w:val="00AD5BB6"/>
    <w:rsid w:val="00AD644D"/>
    <w:rsid w:val="00AD6880"/>
    <w:rsid w:val="00AD736B"/>
    <w:rsid w:val="00AE042C"/>
    <w:rsid w:val="00AE068C"/>
    <w:rsid w:val="00AE0AA7"/>
    <w:rsid w:val="00AE0D89"/>
    <w:rsid w:val="00AE1ADA"/>
    <w:rsid w:val="00AE1C32"/>
    <w:rsid w:val="00AE2082"/>
    <w:rsid w:val="00AE2438"/>
    <w:rsid w:val="00AE2522"/>
    <w:rsid w:val="00AE27A6"/>
    <w:rsid w:val="00AE2ABD"/>
    <w:rsid w:val="00AE2D48"/>
    <w:rsid w:val="00AE302D"/>
    <w:rsid w:val="00AE3E20"/>
    <w:rsid w:val="00AE3F60"/>
    <w:rsid w:val="00AE49D4"/>
    <w:rsid w:val="00AE4B96"/>
    <w:rsid w:val="00AE540D"/>
    <w:rsid w:val="00AE553B"/>
    <w:rsid w:val="00AE5641"/>
    <w:rsid w:val="00AE5E67"/>
    <w:rsid w:val="00AE67F8"/>
    <w:rsid w:val="00AE721E"/>
    <w:rsid w:val="00AE779F"/>
    <w:rsid w:val="00AF015F"/>
    <w:rsid w:val="00AF09F9"/>
    <w:rsid w:val="00AF162A"/>
    <w:rsid w:val="00AF3096"/>
    <w:rsid w:val="00AF3E95"/>
    <w:rsid w:val="00AF4665"/>
    <w:rsid w:val="00AF4A68"/>
    <w:rsid w:val="00AF5E0B"/>
    <w:rsid w:val="00AF6349"/>
    <w:rsid w:val="00AF6524"/>
    <w:rsid w:val="00AF6C57"/>
    <w:rsid w:val="00AF6EFE"/>
    <w:rsid w:val="00AF73DF"/>
    <w:rsid w:val="00AF7CC6"/>
    <w:rsid w:val="00B01809"/>
    <w:rsid w:val="00B01E6B"/>
    <w:rsid w:val="00B0265D"/>
    <w:rsid w:val="00B0283E"/>
    <w:rsid w:val="00B02BDD"/>
    <w:rsid w:val="00B02DF7"/>
    <w:rsid w:val="00B03021"/>
    <w:rsid w:val="00B033F4"/>
    <w:rsid w:val="00B04FEC"/>
    <w:rsid w:val="00B0688B"/>
    <w:rsid w:val="00B068B5"/>
    <w:rsid w:val="00B06DB1"/>
    <w:rsid w:val="00B06E0C"/>
    <w:rsid w:val="00B07126"/>
    <w:rsid w:val="00B10786"/>
    <w:rsid w:val="00B10907"/>
    <w:rsid w:val="00B10909"/>
    <w:rsid w:val="00B10F10"/>
    <w:rsid w:val="00B11331"/>
    <w:rsid w:val="00B117F6"/>
    <w:rsid w:val="00B11E90"/>
    <w:rsid w:val="00B12047"/>
    <w:rsid w:val="00B12201"/>
    <w:rsid w:val="00B133D8"/>
    <w:rsid w:val="00B13833"/>
    <w:rsid w:val="00B13D51"/>
    <w:rsid w:val="00B14433"/>
    <w:rsid w:val="00B14A37"/>
    <w:rsid w:val="00B166AC"/>
    <w:rsid w:val="00B16CE4"/>
    <w:rsid w:val="00B16D1D"/>
    <w:rsid w:val="00B16E69"/>
    <w:rsid w:val="00B20494"/>
    <w:rsid w:val="00B2066F"/>
    <w:rsid w:val="00B208CD"/>
    <w:rsid w:val="00B226CD"/>
    <w:rsid w:val="00B2336A"/>
    <w:rsid w:val="00B234AD"/>
    <w:rsid w:val="00B23CA0"/>
    <w:rsid w:val="00B2594D"/>
    <w:rsid w:val="00B25F7A"/>
    <w:rsid w:val="00B26267"/>
    <w:rsid w:val="00B27215"/>
    <w:rsid w:val="00B2778E"/>
    <w:rsid w:val="00B30497"/>
    <w:rsid w:val="00B3257C"/>
    <w:rsid w:val="00B33383"/>
    <w:rsid w:val="00B33398"/>
    <w:rsid w:val="00B33DDD"/>
    <w:rsid w:val="00B36132"/>
    <w:rsid w:val="00B3617A"/>
    <w:rsid w:val="00B36214"/>
    <w:rsid w:val="00B36B99"/>
    <w:rsid w:val="00B36D2C"/>
    <w:rsid w:val="00B36E89"/>
    <w:rsid w:val="00B40371"/>
    <w:rsid w:val="00B4062C"/>
    <w:rsid w:val="00B4075F"/>
    <w:rsid w:val="00B411E4"/>
    <w:rsid w:val="00B4167A"/>
    <w:rsid w:val="00B42576"/>
    <w:rsid w:val="00B437F9"/>
    <w:rsid w:val="00B43CB9"/>
    <w:rsid w:val="00B446BF"/>
    <w:rsid w:val="00B44ADE"/>
    <w:rsid w:val="00B453A5"/>
    <w:rsid w:val="00B4597A"/>
    <w:rsid w:val="00B45A8F"/>
    <w:rsid w:val="00B468B0"/>
    <w:rsid w:val="00B50AB7"/>
    <w:rsid w:val="00B50EDD"/>
    <w:rsid w:val="00B51868"/>
    <w:rsid w:val="00B531DA"/>
    <w:rsid w:val="00B53682"/>
    <w:rsid w:val="00B55B9F"/>
    <w:rsid w:val="00B56427"/>
    <w:rsid w:val="00B56764"/>
    <w:rsid w:val="00B56866"/>
    <w:rsid w:val="00B570D1"/>
    <w:rsid w:val="00B57E11"/>
    <w:rsid w:val="00B57ECB"/>
    <w:rsid w:val="00B57FB7"/>
    <w:rsid w:val="00B600A7"/>
    <w:rsid w:val="00B600FC"/>
    <w:rsid w:val="00B60473"/>
    <w:rsid w:val="00B607A0"/>
    <w:rsid w:val="00B6102A"/>
    <w:rsid w:val="00B6182C"/>
    <w:rsid w:val="00B61B79"/>
    <w:rsid w:val="00B61D96"/>
    <w:rsid w:val="00B61F69"/>
    <w:rsid w:val="00B623D5"/>
    <w:rsid w:val="00B626B3"/>
    <w:rsid w:val="00B62A94"/>
    <w:rsid w:val="00B62B0B"/>
    <w:rsid w:val="00B633E3"/>
    <w:rsid w:val="00B6354C"/>
    <w:rsid w:val="00B635C0"/>
    <w:rsid w:val="00B639AE"/>
    <w:rsid w:val="00B63BC5"/>
    <w:rsid w:val="00B6486A"/>
    <w:rsid w:val="00B64C69"/>
    <w:rsid w:val="00B64FE9"/>
    <w:rsid w:val="00B6554D"/>
    <w:rsid w:val="00B656DA"/>
    <w:rsid w:val="00B66ADA"/>
    <w:rsid w:val="00B67B3D"/>
    <w:rsid w:val="00B67E26"/>
    <w:rsid w:val="00B70A77"/>
    <w:rsid w:val="00B70FEA"/>
    <w:rsid w:val="00B7208B"/>
    <w:rsid w:val="00B72B19"/>
    <w:rsid w:val="00B72F87"/>
    <w:rsid w:val="00B7305B"/>
    <w:rsid w:val="00B73BA8"/>
    <w:rsid w:val="00B73F50"/>
    <w:rsid w:val="00B73F56"/>
    <w:rsid w:val="00B7423F"/>
    <w:rsid w:val="00B744FD"/>
    <w:rsid w:val="00B74770"/>
    <w:rsid w:val="00B750B3"/>
    <w:rsid w:val="00B7692B"/>
    <w:rsid w:val="00B772A4"/>
    <w:rsid w:val="00B80970"/>
    <w:rsid w:val="00B80B06"/>
    <w:rsid w:val="00B817CC"/>
    <w:rsid w:val="00B82E10"/>
    <w:rsid w:val="00B831BA"/>
    <w:rsid w:val="00B851E2"/>
    <w:rsid w:val="00B85C21"/>
    <w:rsid w:val="00B85F7C"/>
    <w:rsid w:val="00B85F87"/>
    <w:rsid w:val="00B867C7"/>
    <w:rsid w:val="00B86C71"/>
    <w:rsid w:val="00B87925"/>
    <w:rsid w:val="00B87AC9"/>
    <w:rsid w:val="00B87C77"/>
    <w:rsid w:val="00B92516"/>
    <w:rsid w:val="00B9360A"/>
    <w:rsid w:val="00B94BD5"/>
    <w:rsid w:val="00B95E56"/>
    <w:rsid w:val="00B96E0C"/>
    <w:rsid w:val="00BA05AF"/>
    <w:rsid w:val="00BA05CB"/>
    <w:rsid w:val="00BA1244"/>
    <w:rsid w:val="00BA1976"/>
    <w:rsid w:val="00BA1CE0"/>
    <w:rsid w:val="00BA20BF"/>
    <w:rsid w:val="00BA238B"/>
    <w:rsid w:val="00BA2EF0"/>
    <w:rsid w:val="00BA3B9E"/>
    <w:rsid w:val="00BA3D32"/>
    <w:rsid w:val="00BA3DCF"/>
    <w:rsid w:val="00BA714C"/>
    <w:rsid w:val="00BA72B1"/>
    <w:rsid w:val="00BA7DC0"/>
    <w:rsid w:val="00BA7DFB"/>
    <w:rsid w:val="00BB0D2B"/>
    <w:rsid w:val="00BB1F54"/>
    <w:rsid w:val="00BB23E7"/>
    <w:rsid w:val="00BB3BBC"/>
    <w:rsid w:val="00BB3C65"/>
    <w:rsid w:val="00BB47D6"/>
    <w:rsid w:val="00BB4988"/>
    <w:rsid w:val="00BB4BB2"/>
    <w:rsid w:val="00BB653D"/>
    <w:rsid w:val="00BC0290"/>
    <w:rsid w:val="00BC1675"/>
    <w:rsid w:val="00BC1AA8"/>
    <w:rsid w:val="00BC1F59"/>
    <w:rsid w:val="00BC2F5D"/>
    <w:rsid w:val="00BC3558"/>
    <w:rsid w:val="00BC41DA"/>
    <w:rsid w:val="00BC427A"/>
    <w:rsid w:val="00BC42E9"/>
    <w:rsid w:val="00BC4900"/>
    <w:rsid w:val="00BC4D62"/>
    <w:rsid w:val="00BC53BD"/>
    <w:rsid w:val="00BC5673"/>
    <w:rsid w:val="00BC5D13"/>
    <w:rsid w:val="00BC62BA"/>
    <w:rsid w:val="00BC6D48"/>
    <w:rsid w:val="00BC6E6A"/>
    <w:rsid w:val="00BC7770"/>
    <w:rsid w:val="00BD0284"/>
    <w:rsid w:val="00BD0705"/>
    <w:rsid w:val="00BD140E"/>
    <w:rsid w:val="00BD1F1D"/>
    <w:rsid w:val="00BD2328"/>
    <w:rsid w:val="00BD275A"/>
    <w:rsid w:val="00BD2D08"/>
    <w:rsid w:val="00BD2DA1"/>
    <w:rsid w:val="00BD4497"/>
    <w:rsid w:val="00BD46C6"/>
    <w:rsid w:val="00BD4F67"/>
    <w:rsid w:val="00BD5B10"/>
    <w:rsid w:val="00BD62C1"/>
    <w:rsid w:val="00BD6C8F"/>
    <w:rsid w:val="00BD6D58"/>
    <w:rsid w:val="00BD6F03"/>
    <w:rsid w:val="00BD713D"/>
    <w:rsid w:val="00BD79F2"/>
    <w:rsid w:val="00BE052F"/>
    <w:rsid w:val="00BE0F84"/>
    <w:rsid w:val="00BE1B70"/>
    <w:rsid w:val="00BE269D"/>
    <w:rsid w:val="00BE26EE"/>
    <w:rsid w:val="00BE2C7E"/>
    <w:rsid w:val="00BE3EBD"/>
    <w:rsid w:val="00BE46AC"/>
    <w:rsid w:val="00BE4D50"/>
    <w:rsid w:val="00BE5580"/>
    <w:rsid w:val="00BE563A"/>
    <w:rsid w:val="00BE5779"/>
    <w:rsid w:val="00BE5DA1"/>
    <w:rsid w:val="00BE624F"/>
    <w:rsid w:val="00BE681E"/>
    <w:rsid w:val="00BE780B"/>
    <w:rsid w:val="00BF011D"/>
    <w:rsid w:val="00BF0995"/>
    <w:rsid w:val="00BF0E04"/>
    <w:rsid w:val="00BF0F38"/>
    <w:rsid w:val="00BF14F4"/>
    <w:rsid w:val="00BF15FE"/>
    <w:rsid w:val="00BF167B"/>
    <w:rsid w:val="00BF1D74"/>
    <w:rsid w:val="00BF2091"/>
    <w:rsid w:val="00BF234A"/>
    <w:rsid w:val="00BF28A9"/>
    <w:rsid w:val="00BF2C8B"/>
    <w:rsid w:val="00BF332E"/>
    <w:rsid w:val="00BF3780"/>
    <w:rsid w:val="00BF3E41"/>
    <w:rsid w:val="00BF4F07"/>
    <w:rsid w:val="00BF4F5B"/>
    <w:rsid w:val="00BF54EF"/>
    <w:rsid w:val="00BF7AFA"/>
    <w:rsid w:val="00C00A53"/>
    <w:rsid w:val="00C00EC9"/>
    <w:rsid w:val="00C013B4"/>
    <w:rsid w:val="00C016BD"/>
    <w:rsid w:val="00C01B45"/>
    <w:rsid w:val="00C02059"/>
    <w:rsid w:val="00C0250F"/>
    <w:rsid w:val="00C02639"/>
    <w:rsid w:val="00C02A7D"/>
    <w:rsid w:val="00C03391"/>
    <w:rsid w:val="00C046B1"/>
    <w:rsid w:val="00C049EB"/>
    <w:rsid w:val="00C0692C"/>
    <w:rsid w:val="00C070B3"/>
    <w:rsid w:val="00C077F1"/>
    <w:rsid w:val="00C07A30"/>
    <w:rsid w:val="00C07FB5"/>
    <w:rsid w:val="00C1044F"/>
    <w:rsid w:val="00C10A05"/>
    <w:rsid w:val="00C10BA4"/>
    <w:rsid w:val="00C10C88"/>
    <w:rsid w:val="00C10FFA"/>
    <w:rsid w:val="00C11D92"/>
    <w:rsid w:val="00C12E9C"/>
    <w:rsid w:val="00C12EDB"/>
    <w:rsid w:val="00C13086"/>
    <w:rsid w:val="00C142AB"/>
    <w:rsid w:val="00C145FF"/>
    <w:rsid w:val="00C15694"/>
    <w:rsid w:val="00C166F9"/>
    <w:rsid w:val="00C17097"/>
    <w:rsid w:val="00C179F7"/>
    <w:rsid w:val="00C17A37"/>
    <w:rsid w:val="00C200F7"/>
    <w:rsid w:val="00C206EB"/>
    <w:rsid w:val="00C209DF"/>
    <w:rsid w:val="00C21058"/>
    <w:rsid w:val="00C21104"/>
    <w:rsid w:val="00C217BA"/>
    <w:rsid w:val="00C21ABF"/>
    <w:rsid w:val="00C22942"/>
    <w:rsid w:val="00C229EC"/>
    <w:rsid w:val="00C22F96"/>
    <w:rsid w:val="00C24190"/>
    <w:rsid w:val="00C24351"/>
    <w:rsid w:val="00C247BD"/>
    <w:rsid w:val="00C24F25"/>
    <w:rsid w:val="00C25E2E"/>
    <w:rsid w:val="00C25F02"/>
    <w:rsid w:val="00C268CF"/>
    <w:rsid w:val="00C26D09"/>
    <w:rsid w:val="00C273DE"/>
    <w:rsid w:val="00C2764E"/>
    <w:rsid w:val="00C305AE"/>
    <w:rsid w:val="00C307A8"/>
    <w:rsid w:val="00C30E83"/>
    <w:rsid w:val="00C31267"/>
    <w:rsid w:val="00C334F9"/>
    <w:rsid w:val="00C3468B"/>
    <w:rsid w:val="00C34A2C"/>
    <w:rsid w:val="00C359BC"/>
    <w:rsid w:val="00C35BF2"/>
    <w:rsid w:val="00C35F99"/>
    <w:rsid w:val="00C3622D"/>
    <w:rsid w:val="00C37044"/>
    <w:rsid w:val="00C3731B"/>
    <w:rsid w:val="00C374B5"/>
    <w:rsid w:val="00C374C9"/>
    <w:rsid w:val="00C37D45"/>
    <w:rsid w:val="00C40D94"/>
    <w:rsid w:val="00C411BC"/>
    <w:rsid w:val="00C427E9"/>
    <w:rsid w:val="00C429E3"/>
    <w:rsid w:val="00C42A4D"/>
    <w:rsid w:val="00C42BDE"/>
    <w:rsid w:val="00C43707"/>
    <w:rsid w:val="00C43C9E"/>
    <w:rsid w:val="00C43D6B"/>
    <w:rsid w:val="00C461AA"/>
    <w:rsid w:val="00C46F57"/>
    <w:rsid w:val="00C476FD"/>
    <w:rsid w:val="00C50A28"/>
    <w:rsid w:val="00C51B7C"/>
    <w:rsid w:val="00C51C29"/>
    <w:rsid w:val="00C52025"/>
    <w:rsid w:val="00C52A81"/>
    <w:rsid w:val="00C53244"/>
    <w:rsid w:val="00C53EFD"/>
    <w:rsid w:val="00C5433E"/>
    <w:rsid w:val="00C54C3D"/>
    <w:rsid w:val="00C54D83"/>
    <w:rsid w:val="00C54DD2"/>
    <w:rsid w:val="00C55103"/>
    <w:rsid w:val="00C553B5"/>
    <w:rsid w:val="00C55D5C"/>
    <w:rsid w:val="00C60540"/>
    <w:rsid w:val="00C60EE9"/>
    <w:rsid w:val="00C62F85"/>
    <w:rsid w:val="00C63C71"/>
    <w:rsid w:val="00C6435B"/>
    <w:rsid w:val="00C64827"/>
    <w:rsid w:val="00C649B2"/>
    <w:rsid w:val="00C65179"/>
    <w:rsid w:val="00C65929"/>
    <w:rsid w:val="00C67138"/>
    <w:rsid w:val="00C671B3"/>
    <w:rsid w:val="00C67698"/>
    <w:rsid w:val="00C701B3"/>
    <w:rsid w:val="00C706A5"/>
    <w:rsid w:val="00C70A4B"/>
    <w:rsid w:val="00C70D15"/>
    <w:rsid w:val="00C71138"/>
    <w:rsid w:val="00C714B3"/>
    <w:rsid w:val="00C72080"/>
    <w:rsid w:val="00C72318"/>
    <w:rsid w:val="00C72E31"/>
    <w:rsid w:val="00C73AF1"/>
    <w:rsid w:val="00C73C35"/>
    <w:rsid w:val="00C744C3"/>
    <w:rsid w:val="00C7475A"/>
    <w:rsid w:val="00C7506F"/>
    <w:rsid w:val="00C76249"/>
    <w:rsid w:val="00C77FF2"/>
    <w:rsid w:val="00C80E65"/>
    <w:rsid w:val="00C814E3"/>
    <w:rsid w:val="00C823BD"/>
    <w:rsid w:val="00C82FA2"/>
    <w:rsid w:val="00C85227"/>
    <w:rsid w:val="00C85D85"/>
    <w:rsid w:val="00C85F79"/>
    <w:rsid w:val="00C872A0"/>
    <w:rsid w:val="00C87570"/>
    <w:rsid w:val="00C87EFC"/>
    <w:rsid w:val="00C900C9"/>
    <w:rsid w:val="00C91677"/>
    <w:rsid w:val="00C91CD1"/>
    <w:rsid w:val="00C929CE"/>
    <w:rsid w:val="00C93EAA"/>
    <w:rsid w:val="00C93FD8"/>
    <w:rsid w:val="00C94453"/>
    <w:rsid w:val="00C94A80"/>
    <w:rsid w:val="00C94E38"/>
    <w:rsid w:val="00C94F63"/>
    <w:rsid w:val="00C95A6B"/>
    <w:rsid w:val="00C95C1F"/>
    <w:rsid w:val="00C968CC"/>
    <w:rsid w:val="00C96A63"/>
    <w:rsid w:val="00C96AEA"/>
    <w:rsid w:val="00C96B1D"/>
    <w:rsid w:val="00C976F1"/>
    <w:rsid w:val="00C97B9F"/>
    <w:rsid w:val="00CA2955"/>
    <w:rsid w:val="00CA482A"/>
    <w:rsid w:val="00CA49CC"/>
    <w:rsid w:val="00CA51B4"/>
    <w:rsid w:val="00CA5870"/>
    <w:rsid w:val="00CA6364"/>
    <w:rsid w:val="00CA6989"/>
    <w:rsid w:val="00CA6F5A"/>
    <w:rsid w:val="00CA6F70"/>
    <w:rsid w:val="00CA71DA"/>
    <w:rsid w:val="00CA7EF6"/>
    <w:rsid w:val="00CB00C5"/>
    <w:rsid w:val="00CB07BB"/>
    <w:rsid w:val="00CB09C6"/>
    <w:rsid w:val="00CB1696"/>
    <w:rsid w:val="00CB2019"/>
    <w:rsid w:val="00CB2C1A"/>
    <w:rsid w:val="00CB3616"/>
    <w:rsid w:val="00CB3C08"/>
    <w:rsid w:val="00CB3CA9"/>
    <w:rsid w:val="00CB45B8"/>
    <w:rsid w:val="00CB53F3"/>
    <w:rsid w:val="00CB592A"/>
    <w:rsid w:val="00CB5DC1"/>
    <w:rsid w:val="00CB6356"/>
    <w:rsid w:val="00CB6AA0"/>
    <w:rsid w:val="00CB76EA"/>
    <w:rsid w:val="00CB773A"/>
    <w:rsid w:val="00CB7864"/>
    <w:rsid w:val="00CB7BC2"/>
    <w:rsid w:val="00CC30D7"/>
    <w:rsid w:val="00CC3DB6"/>
    <w:rsid w:val="00CC4120"/>
    <w:rsid w:val="00CC4490"/>
    <w:rsid w:val="00CC555C"/>
    <w:rsid w:val="00CC5917"/>
    <w:rsid w:val="00CC616C"/>
    <w:rsid w:val="00CC665B"/>
    <w:rsid w:val="00CC68C5"/>
    <w:rsid w:val="00CC77E4"/>
    <w:rsid w:val="00CD00FA"/>
    <w:rsid w:val="00CD1559"/>
    <w:rsid w:val="00CD17D5"/>
    <w:rsid w:val="00CD1E97"/>
    <w:rsid w:val="00CD1F91"/>
    <w:rsid w:val="00CD259B"/>
    <w:rsid w:val="00CD2800"/>
    <w:rsid w:val="00CD3A9A"/>
    <w:rsid w:val="00CD3C0D"/>
    <w:rsid w:val="00CD4181"/>
    <w:rsid w:val="00CD4585"/>
    <w:rsid w:val="00CD5F53"/>
    <w:rsid w:val="00CD7B38"/>
    <w:rsid w:val="00CE003E"/>
    <w:rsid w:val="00CE03F5"/>
    <w:rsid w:val="00CE05B0"/>
    <w:rsid w:val="00CE0A3F"/>
    <w:rsid w:val="00CE24DD"/>
    <w:rsid w:val="00CE25B4"/>
    <w:rsid w:val="00CE27F5"/>
    <w:rsid w:val="00CE2B11"/>
    <w:rsid w:val="00CE2D73"/>
    <w:rsid w:val="00CE3AEF"/>
    <w:rsid w:val="00CE443B"/>
    <w:rsid w:val="00CE4B52"/>
    <w:rsid w:val="00CE4D13"/>
    <w:rsid w:val="00CE5396"/>
    <w:rsid w:val="00CE555C"/>
    <w:rsid w:val="00CE5F9D"/>
    <w:rsid w:val="00CE6C38"/>
    <w:rsid w:val="00CE7872"/>
    <w:rsid w:val="00CF0017"/>
    <w:rsid w:val="00CF0163"/>
    <w:rsid w:val="00CF085E"/>
    <w:rsid w:val="00CF09A5"/>
    <w:rsid w:val="00CF10DF"/>
    <w:rsid w:val="00CF2D3B"/>
    <w:rsid w:val="00CF3082"/>
    <w:rsid w:val="00CF3268"/>
    <w:rsid w:val="00CF3541"/>
    <w:rsid w:val="00CF38B5"/>
    <w:rsid w:val="00CF489B"/>
    <w:rsid w:val="00CF490A"/>
    <w:rsid w:val="00CF5E47"/>
    <w:rsid w:val="00CF6BB4"/>
    <w:rsid w:val="00CF6E6C"/>
    <w:rsid w:val="00CF6E70"/>
    <w:rsid w:val="00CF7444"/>
    <w:rsid w:val="00CF7B93"/>
    <w:rsid w:val="00D002B7"/>
    <w:rsid w:val="00D00FB0"/>
    <w:rsid w:val="00D02970"/>
    <w:rsid w:val="00D035C0"/>
    <w:rsid w:val="00D039D9"/>
    <w:rsid w:val="00D039E6"/>
    <w:rsid w:val="00D03E2E"/>
    <w:rsid w:val="00D04545"/>
    <w:rsid w:val="00D04DAB"/>
    <w:rsid w:val="00D05034"/>
    <w:rsid w:val="00D05527"/>
    <w:rsid w:val="00D05A1E"/>
    <w:rsid w:val="00D05E8E"/>
    <w:rsid w:val="00D063DF"/>
    <w:rsid w:val="00D0784E"/>
    <w:rsid w:val="00D1034E"/>
    <w:rsid w:val="00D1059C"/>
    <w:rsid w:val="00D106D7"/>
    <w:rsid w:val="00D10EF1"/>
    <w:rsid w:val="00D1103E"/>
    <w:rsid w:val="00D1110F"/>
    <w:rsid w:val="00D113DE"/>
    <w:rsid w:val="00D11897"/>
    <w:rsid w:val="00D11FA6"/>
    <w:rsid w:val="00D12F92"/>
    <w:rsid w:val="00D13322"/>
    <w:rsid w:val="00D138F5"/>
    <w:rsid w:val="00D139C9"/>
    <w:rsid w:val="00D13A57"/>
    <w:rsid w:val="00D13B8F"/>
    <w:rsid w:val="00D13E89"/>
    <w:rsid w:val="00D141C7"/>
    <w:rsid w:val="00D148C8"/>
    <w:rsid w:val="00D15374"/>
    <w:rsid w:val="00D16D05"/>
    <w:rsid w:val="00D16EF0"/>
    <w:rsid w:val="00D16EF9"/>
    <w:rsid w:val="00D17130"/>
    <w:rsid w:val="00D17758"/>
    <w:rsid w:val="00D17965"/>
    <w:rsid w:val="00D20556"/>
    <w:rsid w:val="00D21428"/>
    <w:rsid w:val="00D21783"/>
    <w:rsid w:val="00D2225D"/>
    <w:rsid w:val="00D22361"/>
    <w:rsid w:val="00D22459"/>
    <w:rsid w:val="00D22485"/>
    <w:rsid w:val="00D22CE6"/>
    <w:rsid w:val="00D2326A"/>
    <w:rsid w:val="00D23E6D"/>
    <w:rsid w:val="00D23F6C"/>
    <w:rsid w:val="00D243B7"/>
    <w:rsid w:val="00D24C8C"/>
    <w:rsid w:val="00D25B22"/>
    <w:rsid w:val="00D25D67"/>
    <w:rsid w:val="00D268A1"/>
    <w:rsid w:val="00D26C8A"/>
    <w:rsid w:val="00D26D39"/>
    <w:rsid w:val="00D302B4"/>
    <w:rsid w:val="00D31987"/>
    <w:rsid w:val="00D319FE"/>
    <w:rsid w:val="00D323D1"/>
    <w:rsid w:val="00D326DA"/>
    <w:rsid w:val="00D32E51"/>
    <w:rsid w:val="00D33B2C"/>
    <w:rsid w:val="00D33BC0"/>
    <w:rsid w:val="00D33DDC"/>
    <w:rsid w:val="00D34415"/>
    <w:rsid w:val="00D3592B"/>
    <w:rsid w:val="00D35989"/>
    <w:rsid w:val="00D35B9B"/>
    <w:rsid w:val="00D35EAD"/>
    <w:rsid w:val="00D37DFB"/>
    <w:rsid w:val="00D40078"/>
    <w:rsid w:val="00D4022D"/>
    <w:rsid w:val="00D414F5"/>
    <w:rsid w:val="00D41CA0"/>
    <w:rsid w:val="00D41F51"/>
    <w:rsid w:val="00D42E22"/>
    <w:rsid w:val="00D43872"/>
    <w:rsid w:val="00D454E7"/>
    <w:rsid w:val="00D45527"/>
    <w:rsid w:val="00D46097"/>
    <w:rsid w:val="00D46521"/>
    <w:rsid w:val="00D47E28"/>
    <w:rsid w:val="00D50127"/>
    <w:rsid w:val="00D517D0"/>
    <w:rsid w:val="00D51A40"/>
    <w:rsid w:val="00D523EB"/>
    <w:rsid w:val="00D52D57"/>
    <w:rsid w:val="00D53275"/>
    <w:rsid w:val="00D54358"/>
    <w:rsid w:val="00D54562"/>
    <w:rsid w:val="00D548B4"/>
    <w:rsid w:val="00D5512F"/>
    <w:rsid w:val="00D553C6"/>
    <w:rsid w:val="00D554E1"/>
    <w:rsid w:val="00D55501"/>
    <w:rsid w:val="00D5577E"/>
    <w:rsid w:val="00D55F1F"/>
    <w:rsid w:val="00D5614A"/>
    <w:rsid w:val="00D563AD"/>
    <w:rsid w:val="00D564E9"/>
    <w:rsid w:val="00D5679E"/>
    <w:rsid w:val="00D567AA"/>
    <w:rsid w:val="00D56FFA"/>
    <w:rsid w:val="00D57F34"/>
    <w:rsid w:val="00D604DA"/>
    <w:rsid w:val="00D61D3A"/>
    <w:rsid w:val="00D61E66"/>
    <w:rsid w:val="00D61F21"/>
    <w:rsid w:val="00D62952"/>
    <w:rsid w:val="00D62B1A"/>
    <w:rsid w:val="00D6316F"/>
    <w:rsid w:val="00D63E9A"/>
    <w:rsid w:val="00D641F8"/>
    <w:rsid w:val="00D64A9F"/>
    <w:rsid w:val="00D65C0B"/>
    <w:rsid w:val="00D66AE3"/>
    <w:rsid w:val="00D67390"/>
    <w:rsid w:val="00D673AA"/>
    <w:rsid w:val="00D702BE"/>
    <w:rsid w:val="00D70BAF"/>
    <w:rsid w:val="00D713A0"/>
    <w:rsid w:val="00D7152A"/>
    <w:rsid w:val="00D720AD"/>
    <w:rsid w:val="00D7233D"/>
    <w:rsid w:val="00D724DC"/>
    <w:rsid w:val="00D72738"/>
    <w:rsid w:val="00D72CF7"/>
    <w:rsid w:val="00D7317E"/>
    <w:rsid w:val="00D741FC"/>
    <w:rsid w:val="00D7524D"/>
    <w:rsid w:val="00D75C4F"/>
    <w:rsid w:val="00D75F3A"/>
    <w:rsid w:val="00D7636E"/>
    <w:rsid w:val="00D768F3"/>
    <w:rsid w:val="00D76A10"/>
    <w:rsid w:val="00D76CA5"/>
    <w:rsid w:val="00D76ED3"/>
    <w:rsid w:val="00D77DC1"/>
    <w:rsid w:val="00D77E85"/>
    <w:rsid w:val="00D77F27"/>
    <w:rsid w:val="00D80A2B"/>
    <w:rsid w:val="00D80D6A"/>
    <w:rsid w:val="00D81D1D"/>
    <w:rsid w:val="00D83DDB"/>
    <w:rsid w:val="00D84084"/>
    <w:rsid w:val="00D8421B"/>
    <w:rsid w:val="00D84AA2"/>
    <w:rsid w:val="00D84BF3"/>
    <w:rsid w:val="00D85054"/>
    <w:rsid w:val="00D851B0"/>
    <w:rsid w:val="00D85FE2"/>
    <w:rsid w:val="00D87B49"/>
    <w:rsid w:val="00D87BB9"/>
    <w:rsid w:val="00D90594"/>
    <w:rsid w:val="00D90AA2"/>
    <w:rsid w:val="00D90C0D"/>
    <w:rsid w:val="00D9112C"/>
    <w:rsid w:val="00D92B4D"/>
    <w:rsid w:val="00D93334"/>
    <w:rsid w:val="00D93A63"/>
    <w:rsid w:val="00D93D3C"/>
    <w:rsid w:val="00D93D73"/>
    <w:rsid w:val="00D93EB1"/>
    <w:rsid w:val="00D9452B"/>
    <w:rsid w:val="00D94ADC"/>
    <w:rsid w:val="00D96AB7"/>
    <w:rsid w:val="00D9730C"/>
    <w:rsid w:val="00D977C8"/>
    <w:rsid w:val="00DA00B8"/>
    <w:rsid w:val="00DA1780"/>
    <w:rsid w:val="00DA244B"/>
    <w:rsid w:val="00DA3198"/>
    <w:rsid w:val="00DA380F"/>
    <w:rsid w:val="00DA3867"/>
    <w:rsid w:val="00DA3E9A"/>
    <w:rsid w:val="00DA4378"/>
    <w:rsid w:val="00DA4DBD"/>
    <w:rsid w:val="00DA60E1"/>
    <w:rsid w:val="00DA65F6"/>
    <w:rsid w:val="00DA6F31"/>
    <w:rsid w:val="00DA706E"/>
    <w:rsid w:val="00DA7137"/>
    <w:rsid w:val="00DA786A"/>
    <w:rsid w:val="00DA7D1B"/>
    <w:rsid w:val="00DB03ED"/>
    <w:rsid w:val="00DB06E9"/>
    <w:rsid w:val="00DB0E7C"/>
    <w:rsid w:val="00DB181D"/>
    <w:rsid w:val="00DB1B17"/>
    <w:rsid w:val="00DB1DEA"/>
    <w:rsid w:val="00DB1EDB"/>
    <w:rsid w:val="00DB210F"/>
    <w:rsid w:val="00DB220A"/>
    <w:rsid w:val="00DB2DBE"/>
    <w:rsid w:val="00DB32DE"/>
    <w:rsid w:val="00DB49B6"/>
    <w:rsid w:val="00DB4D78"/>
    <w:rsid w:val="00DB5B40"/>
    <w:rsid w:val="00DB6DA6"/>
    <w:rsid w:val="00DC055B"/>
    <w:rsid w:val="00DC0DC8"/>
    <w:rsid w:val="00DC1302"/>
    <w:rsid w:val="00DC13E1"/>
    <w:rsid w:val="00DC1E47"/>
    <w:rsid w:val="00DC2397"/>
    <w:rsid w:val="00DC249C"/>
    <w:rsid w:val="00DC27EE"/>
    <w:rsid w:val="00DC2BEF"/>
    <w:rsid w:val="00DC304F"/>
    <w:rsid w:val="00DC3545"/>
    <w:rsid w:val="00DC364B"/>
    <w:rsid w:val="00DC4B35"/>
    <w:rsid w:val="00DC4FBE"/>
    <w:rsid w:val="00DC5836"/>
    <w:rsid w:val="00DC5A31"/>
    <w:rsid w:val="00DC676B"/>
    <w:rsid w:val="00DD2026"/>
    <w:rsid w:val="00DD2648"/>
    <w:rsid w:val="00DD267B"/>
    <w:rsid w:val="00DD2A1E"/>
    <w:rsid w:val="00DD2A77"/>
    <w:rsid w:val="00DD5AD6"/>
    <w:rsid w:val="00DD6FD9"/>
    <w:rsid w:val="00DD79E3"/>
    <w:rsid w:val="00DD7C72"/>
    <w:rsid w:val="00DE048F"/>
    <w:rsid w:val="00DE1206"/>
    <w:rsid w:val="00DE215D"/>
    <w:rsid w:val="00DE3C99"/>
    <w:rsid w:val="00DE4509"/>
    <w:rsid w:val="00DE491D"/>
    <w:rsid w:val="00DE552A"/>
    <w:rsid w:val="00DE58D7"/>
    <w:rsid w:val="00DE5A78"/>
    <w:rsid w:val="00DE5D94"/>
    <w:rsid w:val="00DE6C85"/>
    <w:rsid w:val="00DE7FFC"/>
    <w:rsid w:val="00DF0119"/>
    <w:rsid w:val="00DF0528"/>
    <w:rsid w:val="00DF171F"/>
    <w:rsid w:val="00DF179B"/>
    <w:rsid w:val="00DF17F9"/>
    <w:rsid w:val="00DF1AB3"/>
    <w:rsid w:val="00DF1AB5"/>
    <w:rsid w:val="00DF221E"/>
    <w:rsid w:val="00DF2CD3"/>
    <w:rsid w:val="00DF369E"/>
    <w:rsid w:val="00DF62C2"/>
    <w:rsid w:val="00DF62E2"/>
    <w:rsid w:val="00DF7BAF"/>
    <w:rsid w:val="00E0008D"/>
    <w:rsid w:val="00E001C4"/>
    <w:rsid w:val="00E009EE"/>
    <w:rsid w:val="00E00A82"/>
    <w:rsid w:val="00E00CDF"/>
    <w:rsid w:val="00E0120D"/>
    <w:rsid w:val="00E01521"/>
    <w:rsid w:val="00E016C4"/>
    <w:rsid w:val="00E01FA1"/>
    <w:rsid w:val="00E022C5"/>
    <w:rsid w:val="00E0246A"/>
    <w:rsid w:val="00E02A34"/>
    <w:rsid w:val="00E02D6C"/>
    <w:rsid w:val="00E030B1"/>
    <w:rsid w:val="00E03768"/>
    <w:rsid w:val="00E03B67"/>
    <w:rsid w:val="00E040F3"/>
    <w:rsid w:val="00E0420B"/>
    <w:rsid w:val="00E042F5"/>
    <w:rsid w:val="00E0574B"/>
    <w:rsid w:val="00E061AE"/>
    <w:rsid w:val="00E067D0"/>
    <w:rsid w:val="00E07170"/>
    <w:rsid w:val="00E0719F"/>
    <w:rsid w:val="00E07465"/>
    <w:rsid w:val="00E07518"/>
    <w:rsid w:val="00E10FE2"/>
    <w:rsid w:val="00E1107E"/>
    <w:rsid w:val="00E11853"/>
    <w:rsid w:val="00E11BB7"/>
    <w:rsid w:val="00E11D10"/>
    <w:rsid w:val="00E11EBD"/>
    <w:rsid w:val="00E13405"/>
    <w:rsid w:val="00E1447C"/>
    <w:rsid w:val="00E1484A"/>
    <w:rsid w:val="00E14C9D"/>
    <w:rsid w:val="00E14DE9"/>
    <w:rsid w:val="00E1512A"/>
    <w:rsid w:val="00E159E6"/>
    <w:rsid w:val="00E163A1"/>
    <w:rsid w:val="00E16632"/>
    <w:rsid w:val="00E16B60"/>
    <w:rsid w:val="00E16DF8"/>
    <w:rsid w:val="00E16EEC"/>
    <w:rsid w:val="00E1715A"/>
    <w:rsid w:val="00E1790A"/>
    <w:rsid w:val="00E204D1"/>
    <w:rsid w:val="00E2206C"/>
    <w:rsid w:val="00E22192"/>
    <w:rsid w:val="00E2224C"/>
    <w:rsid w:val="00E2269E"/>
    <w:rsid w:val="00E22F4A"/>
    <w:rsid w:val="00E234D4"/>
    <w:rsid w:val="00E23C5E"/>
    <w:rsid w:val="00E25030"/>
    <w:rsid w:val="00E265E4"/>
    <w:rsid w:val="00E27CA7"/>
    <w:rsid w:val="00E27EA5"/>
    <w:rsid w:val="00E3029E"/>
    <w:rsid w:val="00E30F1C"/>
    <w:rsid w:val="00E31BAB"/>
    <w:rsid w:val="00E31E48"/>
    <w:rsid w:val="00E32127"/>
    <w:rsid w:val="00E3351C"/>
    <w:rsid w:val="00E33583"/>
    <w:rsid w:val="00E33A89"/>
    <w:rsid w:val="00E3427F"/>
    <w:rsid w:val="00E34506"/>
    <w:rsid w:val="00E345E9"/>
    <w:rsid w:val="00E36F48"/>
    <w:rsid w:val="00E402B8"/>
    <w:rsid w:val="00E40BD5"/>
    <w:rsid w:val="00E40EFD"/>
    <w:rsid w:val="00E41784"/>
    <w:rsid w:val="00E41794"/>
    <w:rsid w:val="00E41992"/>
    <w:rsid w:val="00E41E05"/>
    <w:rsid w:val="00E41E0C"/>
    <w:rsid w:val="00E4273F"/>
    <w:rsid w:val="00E42A8D"/>
    <w:rsid w:val="00E4386C"/>
    <w:rsid w:val="00E44128"/>
    <w:rsid w:val="00E442A1"/>
    <w:rsid w:val="00E443E4"/>
    <w:rsid w:val="00E44723"/>
    <w:rsid w:val="00E45315"/>
    <w:rsid w:val="00E45773"/>
    <w:rsid w:val="00E461FA"/>
    <w:rsid w:val="00E46677"/>
    <w:rsid w:val="00E477A6"/>
    <w:rsid w:val="00E47D6F"/>
    <w:rsid w:val="00E50D58"/>
    <w:rsid w:val="00E5131F"/>
    <w:rsid w:val="00E5224B"/>
    <w:rsid w:val="00E522A7"/>
    <w:rsid w:val="00E531E7"/>
    <w:rsid w:val="00E53AD3"/>
    <w:rsid w:val="00E53FA3"/>
    <w:rsid w:val="00E543BB"/>
    <w:rsid w:val="00E548A2"/>
    <w:rsid w:val="00E555EA"/>
    <w:rsid w:val="00E556A6"/>
    <w:rsid w:val="00E55C95"/>
    <w:rsid w:val="00E55FB3"/>
    <w:rsid w:val="00E56009"/>
    <w:rsid w:val="00E56675"/>
    <w:rsid w:val="00E56C35"/>
    <w:rsid w:val="00E571CC"/>
    <w:rsid w:val="00E57400"/>
    <w:rsid w:val="00E60F25"/>
    <w:rsid w:val="00E619E4"/>
    <w:rsid w:val="00E61B27"/>
    <w:rsid w:val="00E627F6"/>
    <w:rsid w:val="00E62E41"/>
    <w:rsid w:val="00E638BD"/>
    <w:rsid w:val="00E640FA"/>
    <w:rsid w:val="00E6452D"/>
    <w:rsid w:val="00E6458A"/>
    <w:rsid w:val="00E66872"/>
    <w:rsid w:val="00E67510"/>
    <w:rsid w:val="00E67EE4"/>
    <w:rsid w:val="00E7052B"/>
    <w:rsid w:val="00E707EF"/>
    <w:rsid w:val="00E709DF"/>
    <w:rsid w:val="00E70D2A"/>
    <w:rsid w:val="00E70FF3"/>
    <w:rsid w:val="00E7109F"/>
    <w:rsid w:val="00E71175"/>
    <w:rsid w:val="00E7128A"/>
    <w:rsid w:val="00E729D8"/>
    <w:rsid w:val="00E72FB5"/>
    <w:rsid w:val="00E73938"/>
    <w:rsid w:val="00E74131"/>
    <w:rsid w:val="00E74794"/>
    <w:rsid w:val="00E748EB"/>
    <w:rsid w:val="00E74ADC"/>
    <w:rsid w:val="00E74D5A"/>
    <w:rsid w:val="00E7611D"/>
    <w:rsid w:val="00E7678D"/>
    <w:rsid w:val="00E772C0"/>
    <w:rsid w:val="00E8457A"/>
    <w:rsid w:val="00E85462"/>
    <w:rsid w:val="00E85929"/>
    <w:rsid w:val="00E865C9"/>
    <w:rsid w:val="00E8680D"/>
    <w:rsid w:val="00E870DB"/>
    <w:rsid w:val="00E87A30"/>
    <w:rsid w:val="00E87D24"/>
    <w:rsid w:val="00E905BD"/>
    <w:rsid w:val="00E9062C"/>
    <w:rsid w:val="00E90BFC"/>
    <w:rsid w:val="00E91699"/>
    <w:rsid w:val="00E916F1"/>
    <w:rsid w:val="00E92BE9"/>
    <w:rsid w:val="00E92F9F"/>
    <w:rsid w:val="00E9347F"/>
    <w:rsid w:val="00E94716"/>
    <w:rsid w:val="00E9473C"/>
    <w:rsid w:val="00E94AC2"/>
    <w:rsid w:val="00E94CCB"/>
    <w:rsid w:val="00E95525"/>
    <w:rsid w:val="00E959B3"/>
    <w:rsid w:val="00E959E8"/>
    <w:rsid w:val="00E96060"/>
    <w:rsid w:val="00E96427"/>
    <w:rsid w:val="00E96E14"/>
    <w:rsid w:val="00E9702D"/>
    <w:rsid w:val="00E974FA"/>
    <w:rsid w:val="00E97A41"/>
    <w:rsid w:val="00EA0137"/>
    <w:rsid w:val="00EA02C7"/>
    <w:rsid w:val="00EA15BA"/>
    <w:rsid w:val="00EA1D6D"/>
    <w:rsid w:val="00EA1EEC"/>
    <w:rsid w:val="00EA2018"/>
    <w:rsid w:val="00EA205A"/>
    <w:rsid w:val="00EA3083"/>
    <w:rsid w:val="00EA3825"/>
    <w:rsid w:val="00EA3C3C"/>
    <w:rsid w:val="00EA4C22"/>
    <w:rsid w:val="00EA5580"/>
    <w:rsid w:val="00EA57D0"/>
    <w:rsid w:val="00EA7737"/>
    <w:rsid w:val="00EA79FB"/>
    <w:rsid w:val="00EB0609"/>
    <w:rsid w:val="00EB078A"/>
    <w:rsid w:val="00EB0D9D"/>
    <w:rsid w:val="00EB147E"/>
    <w:rsid w:val="00EB1F10"/>
    <w:rsid w:val="00EB284E"/>
    <w:rsid w:val="00EB2A0A"/>
    <w:rsid w:val="00EB2DD9"/>
    <w:rsid w:val="00EB2F99"/>
    <w:rsid w:val="00EB2FF9"/>
    <w:rsid w:val="00EB35F3"/>
    <w:rsid w:val="00EB3FFD"/>
    <w:rsid w:val="00EB409B"/>
    <w:rsid w:val="00EB41C4"/>
    <w:rsid w:val="00EB4313"/>
    <w:rsid w:val="00EB5488"/>
    <w:rsid w:val="00EB54B3"/>
    <w:rsid w:val="00EB5745"/>
    <w:rsid w:val="00EB5A06"/>
    <w:rsid w:val="00EB5E7C"/>
    <w:rsid w:val="00EB605E"/>
    <w:rsid w:val="00EB61C0"/>
    <w:rsid w:val="00EB676E"/>
    <w:rsid w:val="00EB68B6"/>
    <w:rsid w:val="00EB6BE8"/>
    <w:rsid w:val="00EB6C77"/>
    <w:rsid w:val="00EB7213"/>
    <w:rsid w:val="00EB752B"/>
    <w:rsid w:val="00EC04CA"/>
    <w:rsid w:val="00EC0C5E"/>
    <w:rsid w:val="00EC1BE7"/>
    <w:rsid w:val="00EC1D43"/>
    <w:rsid w:val="00EC2700"/>
    <w:rsid w:val="00EC3105"/>
    <w:rsid w:val="00EC34C5"/>
    <w:rsid w:val="00EC42FA"/>
    <w:rsid w:val="00EC4A64"/>
    <w:rsid w:val="00EC539C"/>
    <w:rsid w:val="00EC5534"/>
    <w:rsid w:val="00EC578A"/>
    <w:rsid w:val="00EC6555"/>
    <w:rsid w:val="00EC6CF7"/>
    <w:rsid w:val="00EC6F5C"/>
    <w:rsid w:val="00EC7546"/>
    <w:rsid w:val="00EC75B2"/>
    <w:rsid w:val="00EC7956"/>
    <w:rsid w:val="00ED0791"/>
    <w:rsid w:val="00ED0ED5"/>
    <w:rsid w:val="00ED2CEA"/>
    <w:rsid w:val="00ED2D7A"/>
    <w:rsid w:val="00ED2D83"/>
    <w:rsid w:val="00ED3373"/>
    <w:rsid w:val="00ED602D"/>
    <w:rsid w:val="00ED6B8F"/>
    <w:rsid w:val="00ED6E53"/>
    <w:rsid w:val="00ED7023"/>
    <w:rsid w:val="00ED71A4"/>
    <w:rsid w:val="00EE0397"/>
    <w:rsid w:val="00EE03EB"/>
    <w:rsid w:val="00EE0655"/>
    <w:rsid w:val="00EE0EB8"/>
    <w:rsid w:val="00EE1923"/>
    <w:rsid w:val="00EE3490"/>
    <w:rsid w:val="00EE43E3"/>
    <w:rsid w:val="00EE571A"/>
    <w:rsid w:val="00EE6647"/>
    <w:rsid w:val="00EE7131"/>
    <w:rsid w:val="00EE7955"/>
    <w:rsid w:val="00EF0475"/>
    <w:rsid w:val="00EF136E"/>
    <w:rsid w:val="00EF1E54"/>
    <w:rsid w:val="00EF24E6"/>
    <w:rsid w:val="00EF2C03"/>
    <w:rsid w:val="00EF2FA6"/>
    <w:rsid w:val="00EF2FFA"/>
    <w:rsid w:val="00EF3BCC"/>
    <w:rsid w:val="00EF4D2C"/>
    <w:rsid w:val="00EF59EE"/>
    <w:rsid w:val="00EF5A96"/>
    <w:rsid w:val="00EF7277"/>
    <w:rsid w:val="00EF772F"/>
    <w:rsid w:val="00F01210"/>
    <w:rsid w:val="00F017F1"/>
    <w:rsid w:val="00F02D27"/>
    <w:rsid w:val="00F04758"/>
    <w:rsid w:val="00F04852"/>
    <w:rsid w:val="00F05015"/>
    <w:rsid w:val="00F061C4"/>
    <w:rsid w:val="00F06A6A"/>
    <w:rsid w:val="00F06B39"/>
    <w:rsid w:val="00F06F28"/>
    <w:rsid w:val="00F07166"/>
    <w:rsid w:val="00F078CD"/>
    <w:rsid w:val="00F07C41"/>
    <w:rsid w:val="00F1080E"/>
    <w:rsid w:val="00F10829"/>
    <w:rsid w:val="00F109BA"/>
    <w:rsid w:val="00F11462"/>
    <w:rsid w:val="00F119B5"/>
    <w:rsid w:val="00F11A14"/>
    <w:rsid w:val="00F12B69"/>
    <w:rsid w:val="00F14F59"/>
    <w:rsid w:val="00F15720"/>
    <w:rsid w:val="00F1666B"/>
    <w:rsid w:val="00F16893"/>
    <w:rsid w:val="00F16BDC"/>
    <w:rsid w:val="00F17B9D"/>
    <w:rsid w:val="00F201E7"/>
    <w:rsid w:val="00F20644"/>
    <w:rsid w:val="00F20E5B"/>
    <w:rsid w:val="00F21FD0"/>
    <w:rsid w:val="00F2296F"/>
    <w:rsid w:val="00F23039"/>
    <w:rsid w:val="00F24882"/>
    <w:rsid w:val="00F24E95"/>
    <w:rsid w:val="00F27A8A"/>
    <w:rsid w:val="00F33CBB"/>
    <w:rsid w:val="00F34F90"/>
    <w:rsid w:val="00F35575"/>
    <w:rsid w:val="00F3570E"/>
    <w:rsid w:val="00F35DBC"/>
    <w:rsid w:val="00F3620D"/>
    <w:rsid w:val="00F3635D"/>
    <w:rsid w:val="00F372EB"/>
    <w:rsid w:val="00F37379"/>
    <w:rsid w:val="00F37422"/>
    <w:rsid w:val="00F37E61"/>
    <w:rsid w:val="00F406EF"/>
    <w:rsid w:val="00F409B1"/>
    <w:rsid w:val="00F40FCE"/>
    <w:rsid w:val="00F40FEE"/>
    <w:rsid w:val="00F41B9B"/>
    <w:rsid w:val="00F430E6"/>
    <w:rsid w:val="00F43C7B"/>
    <w:rsid w:val="00F44BD0"/>
    <w:rsid w:val="00F44CD1"/>
    <w:rsid w:val="00F4574D"/>
    <w:rsid w:val="00F45C72"/>
    <w:rsid w:val="00F45E1C"/>
    <w:rsid w:val="00F469DA"/>
    <w:rsid w:val="00F46B8D"/>
    <w:rsid w:val="00F477FE"/>
    <w:rsid w:val="00F50003"/>
    <w:rsid w:val="00F50CB9"/>
    <w:rsid w:val="00F52F0C"/>
    <w:rsid w:val="00F537E7"/>
    <w:rsid w:val="00F53CD4"/>
    <w:rsid w:val="00F5423D"/>
    <w:rsid w:val="00F556FF"/>
    <w:rsid w:val="00F56124"/>
    <w:rsid w:val="00F566D3"/>
    <w:rsid w:val="00F5750F"/>
    <w:rsid w:val="00F57895"/>
    <w:rsid w:val="00F6021D"/>
    <w:rsid w:val="00F60885"/>
    <w:rsid w:val="00F60DDE"/>
    <w:rsid w:val="00F61D79"/>
    <w:rsid w:val="00F625E1"/>
    <w:rsid w:val="00F6278E"/>
    <w:rsid w:val="00F628B0"/>
    <w:rsid w:val="00F62B6E"/>
    <w:rsid w:val="00F62D83"/>
    <w:rsid w:val="00F65398"/>
    <w:rsid w:val="00F654BE"/>
    <w:rsid w:val="00F656E6"/>
    <w:rsid w:val="00F65948"/>
    <w:rsid w:val="00F65FAF"/>
    <w:rsid w:val="00F66008"/>
    <w:rsid w:val="00F663A6"/>
    <w:rsid w:val="00F66680"/>
    <w:rsid w:val="00F66C28"/>
    <w:rsid w:val="00F66E42"/>
    <w:rsid w:val="00F671C6"/>
    <w:rsid w:val="00F6757F"/>
    <w:rsid w:val="00F70F2A"/>
    <w:rsid w:val="00F70FE5"/>
    <w:rsid w:val="00F71ED3"/>
    <w:rsid w:val="00F727CB"/>
    <w:rsid w:val="00F7332B"/>
    <w:rsid w:val="00F733C9"/>
    <w:rsid w:val="00F749AF"/>
    <w:rsid w:val="00F752D4"/>
    <w:rsid w:val="00F766B2"/>
    <w:rsid w:val="00F76B9D"/>
    <w:rsid w:val="00F77135"/>
    <w:rsid w:val="00F771F1"/>
    <w:rsid w:val="00F80338"/>
    <w:rsid w:val="00F808DA"/>
    <w:rsid w:val="00F80F35"/>
    <w:rsid w:val="00F811D5"/>
    <w:rsid w:val="00F81337"/>
    <w:rsid w:val="00F81E59"/>
    <w:rsid w:val="00F826E8"/>
    <w:rsid w:val="00F82FA0"/>
    <w:rsid w:val="00F8335D"/>
    <w:rsid w:val="00F83AD4"/>
    <w:rsid w:val="00F83BB0"/>
    <w:rsid w:val="00F83D5B"/>
    <w:rsid w:val="00F83EC5"/>
    <w:rsid w:val="00F842FF"/>
    <w:rsid w:val="00F8477B"/>
    <w:rsid w:val="00F86A23"/>
    <w:rsid w:val="00F86AFB"/>
    <w:rsid w:val="00F86EAC"/>
    <w:rsid w:val="00F86FF5"/>
    <w:rsid w:val="00F87851"/>
    <w:rsid w:val="00F87A5E"/>
    <w:rsid w:val="00F87F4A"/>
    <w:rsid w:val="00F90C09"/>
    <w:rsid w:val="00F90E31"/>
    <w:rsid w:val="00F91655"/>
    <w:rsid w:val="00F92D67"/>
    <w:rsid w:val="00F93005"/>
    <w:rsid w:val="00F93158"/>
    <w:rsid w:val="00F933F4"/>
    <w:rsid w:val="00F9424E"/>
    <w:rsid w:val="00F95AB9"/>
    <w:rsid w:val="00F960F0"/>
    <w:rsid w:val="00F96227"/>
    <w:rsid w:val="00F97FE7"/>
    <w:rsid w:val="00FA00D7"/>
    <w:rsid w:val="00FA0B9D"/>
    <w:rsid w:val="00FA0EA5"/>
    <w:rsid w:val="00FA110B"/>
    <w:rsid w:val="00FA12E0"/>
    <w:rsid w:val="00FA1489"/>
    <w:rsid w:val="00FA174F"/>
    <w:rsid w:val="00FA1EC3"/>
    <w:rsid w:val="00FA2186"/>
    <w:rsid w:val="00FA28B5"/>
    <w:rsid w:val="00FA2D27"/>
    <w:rsid w:val="00FA2E00"/>
    <w:rsid w:val="00FA2E08"/>
    <w:rsid w:val="00FA3097"/>
    <w:rsid w:val="00FA338A"/>
    <w:rsid w:val="00FA33E5"/>
    <w:rsid w:val="00FA37C6"/>
    <w:rsid w:val="00FA3D42"/>
    <w:rsid w:val="00FA52FF"/>
    <w:rsid w:val="00FA5F0F"/>
    <w:rsid w:val="00FA5F3D"/>
    <w:rsid w:val="00FB3249"/>
    <w:rsid w:val="00FB444E"/>
    <w:rsid w:val="00FB45CC"/>
    <w:rsid w:val="00FB52FD"/>
    <w:rsid w:val="00FB5856"/>
    <w:rsid w:val="00FB5EC3"/>
    <w:rsid w:val="00FB6069"/>
    <w:rsid w:val="00FB60D3"/>
    <w:rsid w:val="00FB6520"/>
    <w:rsid w:val="00FB6CFF"/>
    <w:rsid w:val="00FB7CD3"/>
    <w:rsid w:val="00FC0D7A"/>
    <w:rsid w:val="00FC12D6"/>
    <w:rsid w:val="00FC1B5B"/>
    <w:rsid w:val="00FC1C3C"/>
    <w:rsid w:val="00FC2160"/>
    <w:rsid w:val="00FC2218"/>
    <w:rsid w:val="00FC2BA0"/>
    <w:rsid w:val="00FC2F5C"/>
    <w:rsid w:val="00FC312C"/>
    <w:rsid w:val="00FC318E"/>
    <w:rsid w:val="00FC336F"/>
    <w:rsid w:val="00FC370A"/>
    <w:rsid w:val="00FC3A1F"/>
    <w:rsid w:val="00FC470E"/>
    <w:rsid w:val="00FC4BB0"/>
    <w:rsid w:val="00FC4E57"/>
    <w:rsid w:val="00FC4F48"/>
    <w:rsid w:val="00FC5A60"/>
    <w:rsid w:val="00FC7126"/>
    <w:rsid w:val="00FC7143"/>
    <w:rsid w:val="00FC7505"/>
    <w:rsid w:val="00FC7C7F"/>
    <w:rsid w:val="00FD118E"/>
    <w:rsid w:val="00FD1725"/>
    <w:rsid w:val="00FD2441"/>
    <w:rsid w:val="00FD2958"/>
    <w:rsid w:val="00FD3616"/>
    <w:rsid w:val="00FD37BD"/>
    <w:rsid w:val="00FD3A4D"/>
    <w:rsid w:val="00FD3F4C"/>
    <w:rsid w:val="00FD420D"/>
    <w:rsid w:val="00FD44AB"/>
    <w:rsid w:val="00FD4A4B"/>
    <w:rsid w:val="00FD4F07"/>
    <w:rsid w:val="00FD508C"/>
    <w:rsid w:val="00FD511B"/>
    <w:rsid w:val="00FD5C41"/>
    <w:rsid w:val="00FD5E2D"/>
    <w:rsid w:val="00FD617F"/>
    <w:rsid w:val="00FD61A1"/>
    <w:rsid w:val="00FD7AD8"/>
    <w:rsid w:val="00FD7BFC"/>
    <w:rsid w:val="00FD7C67"/>
    <w:rsid w:val="00FD7CAB"/>
    <w:rsid w:val="00FD7DD0"/>
    <w:rsid w:val="00FE0E04"/>
    <w:rsid w:val="00FE0FCA"/>
    <w:rsid w:val="00FE12F6"/>
    <w:rsid w:val="00FE1AEA"/>
    <w:rsid w:val="00FE20AE"/>
    <w:rsid w:val="00FE322E"/>
    <w:rsid w:val="00FE3CBE"/>
    <w:rsid w:val="00FE416E"/>
    <w:rsid w:val="00FE4BDD"/>
    <w:rsid w:val="00FE5443"/>
    <w:rsid w:val="00FE6357"/>
    <w:rsid w:val="00FE639A"/>
    <w:rsid w:val="00FE6B1B"/>
    <w:rsid w:val="00FF1D47"/>
    <w:rsid w:val="00FF1F1D"/>
    <w:rsid w:val="00FF27D2"/>
    <w:rsid w:val="00FF2FF6"/>
    <w:rsid w:val="00FF31FB"/>
    <w:rsid w:val="00FF34FD"/>
    <w:rsid w:val="00FF392F"/>
    <w:rsid w:val="00FF44FD"/>
    <w:rsid w:val="00FF53E4"/>
    <w:rsid w:val="00FF5A3D"/>
    <w:rsid w:val="00FF662E"/>
    <w:rsid w:val="00FF7050"/>
    <w:rsid w:val="00FF7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EC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F83EC5"/>
    <w:pPr>
      <w:keepNext/>
      <w:spacing w:before="240" w:after="60"/>
      <w:outlineLvl w:val="0"/>
    </w:pPr>
    <w:rPr>
      <w:rFonts w:ascii="Times New Roman" w:hAnsi="Times New Roman" w:cs="Times New Roman"/>
      <w:b/>
      <w:bCs/>
      <w:kern w:val="32"/>
      <w:sz w:val="28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3EC5"/>
    <w:rPr>
      <w:b/>
      <w:bCs/>
      <w:kern w:val="32"/>
      <w:sz w:val="28"/>
      <w:szCs w:val="32"/>
    </w:rPr>
  </w:style>
  <w:style w:type="paragraph" w:styleId="TM1">
    <w:name w:val="toc 1"/>
    <w:basedOn w:val="Normal"/>
    <w:next w:val="Normal"/>
    <w:autoRedefine/>
    <w:uiPriority w:val="39"/>
    <w:qFormat/>
    <w:rsid w:val="00F83EC5"/>
    <w:pPr>
      <w:spacing w:before="120"/>
    </w:pPr>
    <w:rPr>
      <w:rFonts w:ascii="Calibri" w:hAnsi="Calibri" w:cs="Times New Roman"/>
      <w:b/>
      <w:bCs/>
      <w:i/>
      <w:iCs/>
      <w:szCs w:val="28"/>
    </w:rPr>
  </w:style>
  <w:style w:type="paragraph" w:styleId="TM2">
    <w:name w:val="toc 2"/>
    <w:basedOn w:val="Normal"/>
    <w:next w:val="Normal"/>
    <w:autoRedefine/>
    <w:uiPriority w:val="39"/>
    <w:semiHidden/>
    <w:qFormat/>
    <w:rsid w:val="00F83EC5"/>
    <w:pPr>
      <w:spacing w:before="120"/>
      <w:ind w:left="240"/>
    </w:pPr>
    <w:rPr>
      <w:rFonts w:ascii="Calibri" w:hAnsi="Calibri" w:cs="Times New Roman"/>
      <w:b/>
      <w:bCs/>
      <w:sz w:val="22"/>
      <w:szCs w:val="26"/>
    </w:rPr>
  </w:style>
  <w:style w:type="paragraph" w:styleId="TM3">
    <w:name w:val="toc 3"/>
    <w:basedOn w:val="Normal"/>
    <w:next w:val="Normal"/>
    <w:autoRedefine/>
    <w:uiPriority w:val="39"/>
    <w:semiHidden/>
    <w:qFormat/>
    <w:rsid w:val="00F83EC5"/>
    <w:pPr>
      <w:ind w:left="480"/>
    </w:pPr>
    <w:rPr>
      <w:rFonts w:ascii="Calibri" w:hAnsi="Calibri" w:cs="Times New Roman"/>
      <w:sz w:val="20"/>
    </w:rPr>
  </w:style>
  <w:style w:type="paragraph" w:styleId="Lgende">
    <w:name w:val="caption"/>
    <w:aliases w:val="Titre1+Rouge"/>
    <w:basedOn w:val="Normal"/>
    <w:next w:val="Normal"/>
    <w:qFormat/>
    <w:rsid w:val="00F83EC5"/>
    <w:rPr>
      <w:rFonts w:cs="Times New Roman"/>
    </w:rPr>
  </w:style>
  <w:style w:type="paragraph" w:styleId="Sansinterligne">
    <w:name w:val="No Spacing"/>
    <w:link w:val="SansinterligneCar"/>
    <w:uiPriority w:val="1"/>
    <w:qFormat/>
    <w:rsid w:val="00F83EC5"/>
    <w:rPr>
      <w:rFonts w:ascii="Calibri" w:hAnsi="Calibri" w:cs="Arial"/>
      <w:sz w:val="22"/>
      <w:szCs w:val="22"/>
      <w:lang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F83EC5"/>
    <w:rPr>
      <w:rFonts w:ascii="Calibri" w:hAnsi="Calibri" w:cs="Arial"/>
      <w:sz w:val="22"/>
      <w:szCs w:val="22"/>
      <w:lang w:val="fr-FR" w:eastAsia="en-US" w:bidi="ar-SA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83EC5"/>
    <w:pPr>
      <w:keepLines/>
      <w:widowControl/>
      <w:autoSpaceDE/>
      <w:autoSpaceDN/>
      <w:adjustRightInd/>
      <w:spacing w:before="480" w:after="0" w:line="276" w:lineRule="auto"/>
      <w:outlineLvl w:val="9"/>
    </w:pPr>
    <w:rPr>
      <w:rFonts w:ascii="Cambria" w:hAnsi="Cambria"/>
      <w:color w:val="365F91"/>
      <w:kern w:val="0"/>
      <w:szCs w:val="28"/>
      <w:lang w:eastAsia="en-US"/>
    </w:rPr>
  </w:style>
  <w:style w:type="paragraph" w:customStyle="1" w:styleId="titre2">
    <w:name w:val="titre2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customStyle="1" w:styleId="titre3">
    <w:name w:val="titre3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9452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452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D6C0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character" w:styleId="Lienhypertexte">
    <w:name w:val="Hyperlink"/>
    <w:basedOn w:val="Policepardfaut"/>
    <w:uiPriority w:val="99"/>
    <w:unhideWhenUsed/>
    <w:rsid w:val="005D6C02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5D6C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ion">
    <w:name w:val="Emphasis"/>
    <w:basedOn w:val="Policepardfaut"/>
    <w:uiPriority w:val="20"/>
    <w:qFormat/>
    <w:rsid w:val="00E9062C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60705"/>
    <w:rPr>
      <w:rFonts w:ascii="Courier New" w:hAnsi="Courier New" w:cs="Courier New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60705"/>
    <w:rPr>
      <w:rFonts w:ascii="Courier New" w:hAnsi="Courier New" w:cs="Courier New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E265E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265E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265E4"/>
    <w:rPr>
      <w:rFonts w:ascii="Courier New" w:hAnsi="Courier New" w:cs="Courier New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265E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265E4"/>
    <w:rPr>
      <w:rFonts w:ascii="Courier New" w:hAnsi="Courier New" w:cs="Courier New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EC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F83EC5"/>
    <w:pPr>
      <w:keepNext/>
      <w:spacing w:before="240" w:after="60"/>
      <w:outlineLvl w:val="0"/>
    </w:pPr>
    <w:rPr>
      <w:rFonts w:ascii="Times New Roman" w:hAnsi="Times New Roman" w:cs="Times New Roman"/>
      <w:b/>
      <w:bCs/>
      <w:kern w:val="32"/>
      <w:sz w:val="28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3EC5"/>
    <w:rPr>
      <w:b/>
      <w:bCs/>
      <w:kern w:val="32"/>
      <w:sz w:val="28"/>
      <w:szCs w:val="32"/>
    </w:rPr>
  </w:style>
  <w:style w:type="paragraph" w:styleId="TM1">
    <w:name w:val="toc 1"/>
    <w:basedOn w:val="Normal"/>
    <w:next w:val="Normal"/>
    <w:autoRedefine/>
    <w:uiPriority w:val="39"/>
    <w:qFormat/>
    <w:rsid w:val="00F83EC5"/>
    <w:pPr>
      <w:spacing w:before="120"/>
    </w:pPr>
    <w:rPr>
      <w:rFonts w:ascii="Calibri" w:hAnsi="Calibri" w:cs="Times New Roman"/>
      <w:b/>
      <w:bCs/>
      <w:i/>
      <w:iCs/>
      <w:szCs w:val="28"/>
    </w:rPr>
  </w:style>
  <w:style w:type="paragraph" w:styleId="TM2">
    <w:name w:val="toc 2"/>
    <w:basedOn w:val="Normal"/>
    <w:next w:val="Normal"/>
    <w:autoRedefine/>
    <w:uiPriority w:val="39"/>
    <w:semiHidden/>
    <w:qFormat/>
    <w:rsid w:val="00F83EC5"/>
    <w:pPr>
      <w:spacing w:before="120"/>
      <w:ind w:left="240"/>
    </w:pPr>
    <w:rPr>
      <w:rFonts w:ascii="Calibri" w:hAnsi="Calibri" w:cs="Times New Roman"/>
      <w:b/>
      <w:bCs/>
      <w:sz w:val="22"/>
      <w:szCs w:val="26"/>
    </w:rPr>
  </w:style>
  <w:style w:type="paragraph" w:styleId="TM3">
    <w:name w:val="toc 3"/>
    <w:basedOn w:val="Normal"/>
    <w:next w:val="Normal"/>
    <w:autoRedefine/>
    <w:uiPriority w:val="39"/>
    <w:semiHidden/>
    <w:qFormat/>
    <w:rsid w:val="00F83EC5"/>
    <w:pPr>
      <w:ind w:left="480"/>
    </w:pPr>
    <w:rPr>
      <w:rFonts w:ascii="Calibri" w:hAnsi="Calibri" w:cs="Times New Roman"/>
      <w:sz w:val="20"/>
    </w:rPr>
  </w:style>
  <w:style w:type="paragraph" w:styleId="Lgende">
    <w:name w:val="caption"/>
    <w:aliases w:val="Titre1+Rouge"/>
    <w:basedOn w:val="Normal"/>
    <w:next w:val="Normal"/>
    <w:qFormat/>
    <w:rsid w:val="00F83EC5"/>
    <w:rPr>
      <w:rFonts w:cs="Times New Roman"/>
    </w:rPr>
  </w:style>
  <w:style w:type="paragraph" w:styleId="Sansinterligne">
    <w:name w:val="No Spacing"/>
    <w:link w:val="SansinterligneCar"/>
    <w:uiPriority w:val="1"/>
    <w:qFormat/>
    <w:rsid w:val="00F83EC5"/>
    <w:rPr>
      <w:rFonts w:ascii="Calibri" w:hAnsi="Calibri" w:cs="Arial"/>
      <w:sz w:val="22"/>
      <w:szCs w:val="22"/>
      <w:lang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F83EC5"/>
    <w:rPr>
      <w:rFonts w:ascii="Calibri" w:hAnsi="Calibri" w:cs="Arial"/>
      <w:sz w:val="22"/>
      <w:szCs w:val="22"/>
      <w:lang w:val="fr-FR" w:eastAsia="en-US" w:bidi="ar-SA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83EC5"/>
    <w:pPr>
      <w:keepLines/>
      <w:widowControl/>
      <w:autoSpaceDE/>
      <w:autoSpaceDN/>
      <w:adjustRightInd/>
      <w:spacing w:before="480" w:after="0" w:line="276" w:lineRule="auto"/>
      <w:outlineLvl w:val="9"/>
    </w:pPr>
    <w:rPr>
      <w:rFonts w:ascii="Cambria" w:hAnsi="Cambria"/>
      <w:color w:val="365F91"/>
      <w:kern w:val="0"/>
      <w:szCs w:val="28"/>
      <w:lang w:eastAsia="en-US"/>
    </w:rPr>
  </w:style>
  <w:style w:type="paragraph" w:customStyle="1" w:styleId="titre2">
    <w:name w:val="titre2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customStyle="1" w:styleId="titre3">
    <w:name w:val="titre3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9452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452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D6C0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character" w:styleId="Lienhypertexte">
    <w:name w:val="Hyperlink"/>
    <w:basedOn w:val="Policepardfaut"/>
    <w:uiPriority w:val="99"/>
    <w:unhideWhenUsed/>
    <w:rsid w:val="005D6C02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5D6C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ion">
    <w:name w:val="Emphasis"/>
    <w:basedOn w:val="Policepardfaut"/>
    <w:uiPriority w:val="20"/>
    <w:qFormat/>
    <w:rsid w:val="00E9062C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60705"/>
    <w:rPr>
      <w:rFonts w:ascii="Courier New" w:hAnsi="Courier New" w:cs="Courier New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60705"/>
    <w:rPr>
      <w:rFonts w:ascii="Courier New" w:hAnsi="Courier New" w:cs="Courier New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E265E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265E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265E4"/>
    <w:rPr>
      <w:rFonts w:ascii="Courier New" w:hAnsi="Courier New" w:cs="Courier New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265E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265E4"/>
    <w:rPr>
      <w:rFonts w:ascii="Courier New" w:hAnsi="Courier New" w:cs="Courier New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www.hcp.ma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CP\Downloads\resultatseECM(trim1-08-trim1-2024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4.8676606045544045E-2"/>
          <c:y val="5.3568964727289406E-2"/>
          <c:w val="0.95132339395445609"/>
          <c:h val="0.83348767189637452"/>
        </c:manualLayout>
      </c:layout>
      <c:barChart>
        <c:barDir val="col"/>
        <c:grouping val="clustered"/>
        <c:ser>
          <c:idx val="0"/>
          <c:order val="0"/>
          <c:dPt>
            <c:idx val="54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57"/>
            <c:spPr>
              <a:solidFill>
                <a:schemeClr val="accent1">
                  <a:lumMod val="50000"/>
                </a:schemeClr>
              </a:solidFill>
            </c:spPr>
          </c:dPt>
          <c:dPt>
            <c:idx val="58"/>
            <c:spPr>
              <a:solidFill>
                <a:schemeClr val="accent1">
                  <a:lumMod val="50000"/>
                </a:schemeClr>
              </a:solidFill>
            </c:spPr>
          </c:dPt>
          <c:dLbls>
            <c:dLbl>
              <c:idx val="54"/>
              <c:showVal val="1"/>
            </c:dLbl>
            <c:dLbl>
              <c:idx val="57"/>
              <c:layout>
                <c:manualLayout>
                  <c:x val="-9.3516204885610733E-3"/>
                  <c:y val="6.5359477124183199E-3"/>
                </c:manualLayout>
              </c:layout>
              <c:showVal val="1"/>
            </c:dLbl>
            <c:dLbl>
              <c:idx val="58"/>
              <c:layout>
                <c:manualLayout>
                  <c:x val="0"/>
                  <c:y val="-2.9412022026658491E-2"/>
                </c:manualLayout>
              </c:layout>
              <c:showVal val="1"/>
            </c:dLbl>
            <c:delete val="1"/>
          </c:dLbls>
          <c:cat>
            <c:strRef>
              <c:f>'[resultatseECM(trim1-08-trim1-2024).xlsx]tableau note fr'!$I$3:$BO$3</c:f>
              <c:strCache>
                <c:ptCount val="59"/>
                <c:pt idx="0">
                  <c:v>T4/09</c:v>
                </c:pt>
                <c:pt idx="1">
                  <c:v>T1/10</c:v>
                </c:pt>
                <c:pt idx="2">
                  <c:v>T2/10</c:v>
                </c:pt>
                <c:pt idx="3">
                  <c:v>T3/10</c:v>
                </c:pt>
                <c:pt idx="4">
                  <c:v>T4/10</c:v>
                </c:pt>
                <c:pt idx="5">
                  <c:v>T1/11</c:v>
                </c:pt>
                <c:pt idx="6">
                  <c:v>T2/11</c:v>
                </c:pt>
                <c:pt idx="7">
                  <c:v>T3/11</c:v>
                </c:pt>
                <c:pt idx="8">
                  <c:v>T4/11</c:v>
                </c:pt>
                <c:pt idx="9">
                  <c:v>T1/12</c:v>
                </c:pt>
                <c:pt idx="10">
                  <c:v>T2/12</c:v>
                </c:pt>
                <c:pt idx="11">
                  <c:v>T3/12</c:v>
                </c:pt>
                <c:pt idx="12">
                  <c:v>T4/12</c:v>
                </c:pt>
                <c:pt idx="13">
                  <c:v>T1/13</c:v>
                </c:pt>
                <c:pt idx="14">
                  <c:v>T2/13</c:v>
                </c:pt>
                <c:pt idx="15">
                  <c:v>T3/13</c:v>
                </c:pt>
                <c:pt idx="16">
                  <c:v>T4/13</c:v>
                </c:pt>
                <c:pt idx="17">
                  <c:v>T1/14</c:v>
                </c:pt>
                <c:pt idx="18">
                  <c:v>T2/14</c:v>
                </c:pt>
                <c:pt idx="19">
                  <c:v>T3/14</c:v>
                </c:pt>
                <c:pt idx="20">
                  <c:v>T4/14</c:v>
                </c:pt>
                <c:pt idx="21">
                  <c:v>T1/15</c:v>
                </c:pt>
                <c:pt idx="22">
                  <c:v>T2/15</c:v>
                </c:pt>
                <c:pt idx="23">
                  <c:v>T3/15</c:v>
                </c:pt>
                <c:pt idx="24">
                  <c:v>T4/15</c:v>
                </c:pt>
                <c:pt idx="25">
                  <c:v>T1/16</c:v>
                </c:pt>
                <c:pt idx="26">
                  <c:v>T2/16</c:v>
                </c:pt>
                <c:pt idx="27">
                  <c:v>T3/16</c:v>
                </c:pt>
                <c:pt idx="28">
                  <c:v>T4/16</c:v>
                </c:pt>
                <c:pt idx="29">
                  <c:v>T1/17</c:v>
                </c:pt>
                <c:pt idx="30">
                  <c:v>T2/17</c:v>
                </c:pt>
                <c:pt idx="31">
                  <c:v>T3/17</c:v>
                </c:pt>
                <c:pt idx="32">
                  <c:v>T4/17</c:v>
                </c:pt>
                <c:pt idx="33">
                  <c:v>T1/18</c:v>
                </c:pt>
                <c:pt idx="34">
                  <c:v>T2/18</c:v>
                </c:pt>
                <c:pt idx="35">
                  <c:v>T3/18</c:v>
                </c:pt>
                <c:pt idx="36">
                  <c:v>T4/18</c:v>
                </c:pt>
                <c:pt idx="37">
                  <c:v>T1/19</c:v>
                </c:pt>
                <c:pt idx="38">
                  <c:v>T2/19</c:v>
                </c:pt>
                <c:pt idx="39">
                  <c:v>T3/19</c:v>
                </c:pt>
                <c:pt idx="40">
                  <c:v>T4/19</c:v>
                </c:pt>
                <c:pt idx="41">
                  <c:v>T1/20</c:v>
                </c:pt>
                <c:pt idx="42">
                  <c:v>T2/20</c:v>
                </c:pt>
                <c:pt idx="43">
                  <c:v>T3/20</c:v>
                </c:pt>
                <c:pt idx="44">
                  <c:v>T4/20</c:v>
                </c:pt>
                <c:pt idx="45">
                  <c:v>T1/21</c:v>
                </c:pt>
                <c:pt idx="46">
                  <c:v>T2/21</c:v>
                </c:pt>
                <c:pt idx="47">
                  <c:v>T3/21</c:v>
                </c:pt>
                <c:pt idx="48">
                  <c:v>T4/21</c:v>
                </c:pt>
                <c:pt idx="49">
                  <c:v>T1/22</c:v>
                </c:pt>
                <c:pt idx="50">
                  <c:v>T2/22</c:v>
                </c:pt>
                <c:pt idx="51">
                  <c:v>T3/22</c:v>
                </c:pt>
                <c:pt idx="52">
                  <c:v>T4/22</c:v>
                </c:pt>
                <c:pt idx="53">
                  <c:v>T1/23</c:v>
                </c:pt>
                <c:pt idx="54">
                  <c:v>T2/23</c:v>
                </c:pt>
                <c:pt idx="55">
                  <c:v>T3/23</c:v>
                </c:pt>
                <c:pt idx="56">
                  <c:v>T4/23</c:v>
                </c:pt>
                <c:pt idx="57">
                  <c:v>T1/24</c:v>
                </c:pt>
                <c:pt idx="58">
                  <c:v>T2/24</c:v>
                </c:pt>
              </c:strCache>
            </c:strRef>
          </c:cat>
          <c:val>
            <c:numRef>
              <c:f>'[resultatseECM(trim1-08-trim1-2024).xlsx]tableau note fr'!$I$4:$BO$4</c:f>
              <c:numCache>
                <c:formatCode>0.0</c:formatCode>
                <c:ptCount val="59"/>
                <c:pt idx="0">
                  <c:v>79.463913413558046</c:v>
                </c:pt>
                <c:pt idx="1">
                  <c:v>80.136086093619085</c:v>
                </c:pt>
                <c:pt idx="2">
                  <c:v>78.833388330574124</c:v>
                </c:pt>
                <c:pt idx="3">
                  <c:v>78.629956901853419</c:v>
                </c:pt>
                <c:pt idx="4">
                  <c:v>74.744893710814793</c:v>
                </c:pt>
                <c:pt idx="5">
                  <c:v>78.406406130604708</c:v>
                </c:pt>
                <c:pt idx="6">
                  <c:v>85.789532632532499</c:v>
                </c:pt>
                <c:pt idx="7">
                  <c:v>86.506225251482533</c:v>
                </c:pt>
                <c:pt idx="8">
                  <c:v>84.47721469487719</c:v>
                </c:pt>
                <c:pt idx="9">
                  <c:v>82.880478542821422</c:v>
                </c:pt>
                <c:pt idx="10">
                  <c:v>80.673652783725359</c:v>
                </c:pt>
                <c:pt idx="11">
                  <c:v>77.553867036569258</c:v>
                </c:pt>
                <c:pt idx="12">
                  <c:v>78.403353681349671</c:v>
                </c:pt>
                <c:pt idx="13">
                  <c:v>75.830193123476278</c:v>
                </c:pt>
                <c:pt idx="14">
                  <c:v>74.26831493920966</c:v>
                </c:pt>
                <c:pt idx="15">
                  <c:v>75.40113716912164</c:v>
                </c:pt>
                <c:pt idx="16">
                  <c:v>74.15325435026638</c:v>
                </c:pt>
                <c:pt idx="17">
                  <c:v>74.110620959006027</c:v>
                </c:pt>
                <c:pt idx="18">
                  <c:v>74.014553099961688</c:v>
                </c:pt>
                <c:pt idx="19">
                  <c:v>73.148145370690258</c:v>
                </c:pt>
                <c:pt idx="20">
                  <c:v>71.583460003653656</c:v>
                </c:pt>
                <c:pt idx="21">
                  <c:v>73.659282965035374</c:v>
                </c:pt>
                <c:pt idx="22">
                  <c:v>76.125099572807827</c:v>
                </c:pt>
                <c:pt idx="23">
                  <c:v>76.315005733685894</c:v>
                </c:pt>
                <c:pt idx="24">
                  <c:v>77.131028825386352</c:v>
                </c:pt>
                <c:pt idx="25">
                  <c:v>71.648499016392478</c:v>
                </c:pt>
                <c:pt idx="26">
                  <c:v>75.703427371681059</c:v>
                </c:pt>
                <c:pt idx="27">
                  <c:v>73.804891243097046</c:v>
                </c:pt>
                <c:pt idx="28">
                  <c:v>73.539376287214708</c:v>
                </c:pt>
                <c:pt idx="29">
                  <c:v>78.230698468980961</c:v>
                </c:pt>
                <c:pt idx="30">
                  <c:v>85.8</c:v>
                </c:pt>
                <c:pt idx="31">
                  <c:v>85.5</c:v>
                </c:pt>
                <c:pt idx="32">
                  <c:v>85.9</c:v>
                </c:pt>
                <c:pt idx="33">
                  <c:v>87.317111388814197</c:v>
                </c:pt>
                <c:pt idx="34">
                  <c:v>87.279337774029159</c:v>
                </c:pt>
                <c:pt idx="35">
                  <c:v>82.473279380066572</c:v>
                </c:pt>
                <c:pt idx="36">
                  <c:v>79.8</c:v>
                </c:pt>
                <c:pt idx="37">
                  <c:v>79.104981863169698</c:v>
                </c:pt>
                <c:pt idx="38">
                  <c:v>74.905107002702309</c:v>
                </c:pt>
                <c:pt idx="39">
                  <c:v>74.821311833193818</c:v>
                </c:pt>
                <c:pt idx="40">
                  <c:v>77.783342120372509</c:v>
                </c:pt>
                <c:pt idx="41">
                  <c:v>75.733160637772528</c:v>
                </c:pt>
                <c:pt idx="42">
                  <c:v>65.597735117391323</c:v>
                </c:pt>
                <c:pt idx="43" formatCode="#,##0.0">
                  <c:v>60.6</c:v>
                </c:pt>
                <c:pt idx="44">
                  <c:v>61.15460503678139</c:v>
                </c:pt>
                <c:pt idx="45">
                  <c:v>68.3</c:v>
                </c:pt>
                <c:pt idx="46">
                  <c:v>62.975895024721467</c:v>
                </c:pt>
                <c:pt idx="47">
                  <c:v>65.469321461685027</c:v>
                </c:pt>
                <c:pt idx="48">
                  <c:v>61.244838328447536</c:v>
                </c:pt>
                <c:pt idx="49">
                  <c:v>53.745567465683735</c:v>
                </c:pt>
                <c:pt idx="50">
                  <c:v>50.111231811293351</c:v>
                </c:pt>
                <c:pt idx="51">
                  <c:v>47.411849848039999</c:v>
                </c:pt>
                <c:pt idx="52">
                  <c:v>46.606895890263495</c:v>
                </c:pt>
                <c:pt idx="53">
                  <c:v>46.297927716965162</c:v>
                </c:pt>
                <c:pt idx="54">
                  <c:v>45.357586401620722</c:v>
                </c:pt>
                <c:pt idx="55">
                  <c:v>46.469404550193055</c:v>
                </c:pt>
                <c:pt idx="56">
                  <c:v>44.291134204764113</c:v>
                </c:pt>
                <c:pt idx="57">
                  <c:v>45.339311881310486</c:v>
                </c:pt>
                <c:pt idx="58">
                  <c:v>46.148565317993288</c:v>
                </c:pt>
              </c:numCache>
            </c:numRef>
          </c:val>
        </c:ser>
        <c:axId val="118573696"/>
        <c:axId val="118579584"/>
      </c:barChart>
      <c:catAx>
        <c:axId val="118573696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600"/>
            </a:pPr>
            <a:endParaRPr lang="fr-FR"/>
          </a:p>
        </c:txPr>
        <c:crossAx val="118579584"/>
        <c:crosses val="autoZero"/>
        <c:auto val="1"/>
        <c:lblAlgn val="ctr"/>
        <c:lblOffset val="100"/>
      </c:catAx>
      <c:valAx>
        <c:axId val="118579584"/>
        <c:scaling>
          <c:orientation val="minMax"/>
          <c:max val="90"/>
        </c:scaling>
        <c:axPos val="l"/>
        <c:numFmt formatCode="#,##0" sourceLinked="0"/>
        <c:majorTickMark val="none"/>
        <c:tickLblPos val="nextTo"/>
        <c:crossAx val="118573696"/>
        <c:crosses val="autoZero"/>
        <c:crossBetween val="between"/>
      </c:valAx>
    </c:plotArea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0096896912580763E-2"/>
          <c:y val="9.3462833031046064E-2"/>
          <c:w val="0.92301584192859165"/>
          <c:h val="0.73088815508397975"/>
        </c:manualLayout>
      </c:layout>
      <c:lineChart>
        <c:grouping val="standard"/>
        <c:ser>
          <c:idx val="0"/>
          <c:order val="0"/>
          <c:tx>
            <c:strRef>
              <c:f>'tableau note fr'!$A$6</c:f>
              <c:strCache>
                <c:ptCount val="1"/>
                <c:pt idx="0">
                  <c:v>Evolution  passée du niveau de vie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fr'!$B$3:$BO$3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fr'!$B$6:$BO$6</c:f>
              <c:numCache>
                <c:formatCode>#,##0.0</c:formatCode>
                <c:ptCount val="66"/>
                <c:pt idx="0">
                  <c:v>-10.399945582052929</c:v>
                </c:pt>
                <c:pt idx="1">
                  <c:v>-25.15337945599229</c:v>
                </c:pt>
                <c:pt idx="2">
                  <c:v>-31.141291421499741</c:v>
                </c:pt>
                <c:pt idx="3">
                  <c:v>-29.393844818665286</c:v>
                </c:pt>
                <c:pt idx="4">
                  <c:v>-36.652789359955584</c:v>
                </c:pt>
                <c:pt idx="5">
                  <c:v>-29.108394514506987</c:v>
                </c:pt>
                <c:pt idx="6">
                  <c:v>-25.702364309825629</c:v>
                </c:pt>
                <c:pt idx="7">
                  <c:v>-26.546435956901789</c:v>
                </c:pt>
                <c:pt idx="8">
                  <c:v>-25.723634629572995</c:v>
                </c:pt>
                <c:pt idx="9">
                  <c:v>-28.56499551903989</c:v>
                </c:pt>
                <c:pt idx="10">
                  <c:v>-27.930454212484364</c:v>
                </c:pt>
                <c:pt idx="11">
                  <c:v>-37.236760344983423</c:v>
                </c:pt>
                <c:pt idx="12">
                  <c:v>-26.050959167650092</c:v>
                </c:pt>
                <c:pt idx="13">
                  <c:v>-16.961438303130873</c:v>
                </c:pt>
                <c:pt idx="14">
                  <c:v>-13.439142519852021</c:v>
                </c:pt>
                <c:pt idx="15">
                  <c:v>-20.224270151200944</c:v>
                </c:pt>
                <c:pt idx="16">
                  <c:v>-26.170201326733839</c:v>
                </c:pt>
                <c:pt idx="17">
                  <c:v>-21.816848529134631</c:v>
                </c:pt>
                <c:pt idx="18">
                  <c:v>-27.85707555673623</c:v>
                </c:pt>
                <c:pt idx="19">
                  <c:v>-28.088708351168663</c:v>
                </c:pt>
                <c:pt idx="20">
                  <c:v>-29.212341127418195</c:v>
                </c:pt>
                <c:pt idx="21">
                  <c:v>-23.102864483982081</c:v>
                </c:pt>
                <c:pt idx="22">
                  <c:v>-21.158266803557588</c:v>
                </c:pt>
                <c:pt idx="23">
                  <c:v>-19.887264929132375</c:v>
                </c:pt>
                <c:pt idx="24">
                  <c:v>-18.060219769201886</c:v>
                </c:pt>
                <c:pt idx="25">
                  <c:v>-17.740461010850293</c:v>
                </c:pt>
                <c:pt idx="26">
                  <c:v>-17.387590506775616</c:v>
                </c:pt>
                <c:pt idx="27">
                  <c:v>-16.459915505713987</c:v>
                </c:pt>
                <c:pt idx="28">
                  <c:v>-14.108179132101393</c:v>
                </c:pt>
                <c:pt idx="29">
                  <c:v>-12.785821926678448</c:v>
                </c:pt>
                <c:pt idx="30">
                  <c:v>-15.129825087046068</c:v>
                </c:pt>
                <c:pt idx="31">
                  <c:v>-13.828410383657548</c:v>
                </c:pt>
                <c:pt idx="32">
                  <c:v>-22.864633579953775</c:v>
                </c:pt>
                <c:pt idx="33">
                  <c:v>-15.196177330129153</c:v>
                </c:pt>
                <c:pt idx="34">
                  <c:v>-17.372021059071617</c:v>
                </c:pt>
                <c:pt idx="35">
                  <c:v>-17.46422557458931</c:v>
                </c:pt>
                <c:pt idx="36">
                  <c:v>-11.990228520502567</c:v>
                </c:pt>
                <c:pt idx="37">
                  <c:v>-8.1644944099805006</c:v>
                </c:pt>
                <c:pt idx="38">
                  <c:v>-3.1370023233621227</c:v>
                </c:pt>
                <c:pt idx="39">
                  <c:v>-3.7719246964283601</c:v>
                </c:pt>
                <c:pt idx="40">
                  <c:v>-6.24696090915109</c:v>
                </c:pt>
                <c:pt idx="41" formatCode="0.0">
                  <c:v>-5.3830093381329069</c:v>
                </c:pt>
                <c:pt idx="42" formatCode="0.0">
                  <c:v>-9.5049571220917919</c:v>
                </c:pt>
                <c:pt idx="43" formatCode="0.0">
                  <c:v>-13.3</c:v>
                </c:pt>
                <c:pt idx="44" formatCode="0.0">
                  <c:v>-14.967427927122976</c:v>
                </c:pt>
                <c:pt idx="45" formatCode="0.0">
                  <c:v>-25.353008106891505</c:v>
                </c:pt>
                <c:pt idx="46" formatCode="0.0">
                  <c:v>-20.237097183526259</c:v>
                </c:pt>
                <c:pt idx="47" formatCode="0.0">
                  <c:v>-19.996896512157317</c:v>
                </c:pt>
                <c:pt idx="48" formatCode="0.0">
                  <c:v>-19.767991560587593</c:v>
                </c:pt>
                <c:pt idx="49" formatCode="0.0">
                  <c:v>-24.751522052511689</c:v>
                </c:pt>
                <c:pt idx="50">
                  <c:v>-35.633876933169311</c:v>
                </c:pt>
                <c:pt idx="51" formatCode="0.0">
                  <c:v>-46.607458922581898</c:v>
                </c:pt>
                <c:pt idx="52" formatCode="0.0">
                  <c:v>-50.5</c:v>
                </c:pt>
                <c:pt idx="53" formatCode="0.0">
                  <c:v>-50.789884569181048</c:v>
                </c:pt>
                <c:pt idx="54" formatCode="0.0">
                  <c:v>-41.509403430971062</c:v>
                </c:pt>
                <c:pt idx="55" formatCode="0.0">
                  <c:v>-55.207171712499431</c:v>
                </c:pt>
                <c:pt idx="56" formatCode="0.0">
                  <c:v>-66.848800336369479</c:v>
                </c:pt>
                <c:pt idx="57" formatCode="0.0">
                  <c:v>-72.973367191898419</c:v>
                </c:pt>
                <c:pt idx="58" formatCode="0.0">
                  <c:v>-74.584296237560608</c:v>
                </c:pt>
                <c:pt idx="59" formatCode="0.0">
                  <c:v>-77.955196192924419</c:v>
                </c:pt>
                <c:pt idx="60" formatCode="0.0">
                  <c:v>-81.53758164563699</c:v>
                </c:pt>
                <c:pt idx="61" formatCode="0.0">
                  <c:v>-84.602763632049999</c:v>
                </c:pt>
                <c:pt idx="62" formatCode="0.0">
                  <c:v>-81.540450582650379</c:v>
                </c:pt>
                <c:pt idx="63" formatCode="###0.0">
                  <c:v>-83.236047171895848</c:v>
                </c:pt>
                <c:pt idx="64" formatCode="###0.0">
                  <c:v>-78.092789389410072</c:v>
                </c:pt>
                <c:pt idx="65" formatCode="###0.0">
                  <c:v>-78.164555530203714</c:v>
                </c:pt>
              </c:numCache>
            </c:numRef>
          </c:val>
        </c:ser>
        <c:ser>
          <c:idx val="1"/>
          <c:order val="1"/>
          <c:tx>
            <c:strRef>
              <c:f>'tableau note fr'!$A$7</c:f>
              <c:strCache>
                <c:ptCount val="1"/>
                <c:pt idx="0">
                  <c:v>Perspective d'évolution du niveau de vie</c:v>
                </c:pt>
              </c:strCache>
            </c:strRef>
          </c:tx>
          <c:cat>
            <c:strRef>
              <c:f>'tableau note fr'!$B$3:$BO$3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fr'!$B$7:$BO$7</c:f>
              <c:numCache>
                <c:formatCode>#,##0.0</c:formatCode>
                <c:ptCount val="66"/>
                <c:pt idx="0">
                  <c:v>14.440493946063453</c:v>
                </c:pt>
                <c:pt idx="1">
                  <c:v>-11.52673084245559</c:v>
                </c:pt>
                <c:pt idx="2">
                  <c:v>-21.380291437825413</c:v>
                </c:pt>
                <c:pt idx="3">
                  <c:v>-3.4692228168248267</c:v>
                </c:pt>
                <c:pt idx="4">
                  <c:v>-9.3118753956095954</c:v>
                </c:pt>
                <c:pt idx="5">
                  <c:v>-3.5223109272796771</c:v>
                </c:pt>
                <c:pt idx="6">
                  <c:v>8.4334302751112963E-2</c:v>
                </c:pt>
                <c:pt idx="7">
                  <c:v>2.1853913991610052</c:v>
                </c:pt>
                <c:pt idx="8">
                  <c:v>0.39154986438085676</c:v>
                </c:pt>
                <c:pt idx="9">
                  <c:v>2.7314646872285109</c:v>
                </c:pt>
                <c:pt idx="10">
                  <c:v>0.19418325799955105</c:v>
                </c:pt>
                <c:pt idx="11">
                  <c:v>-11.371112777150765</c:v>
                </c:pt>
                <c:pt idx="12">
                  <c:v>-1.8875512037963609</c:v>
                </c:pt>
                <c:pt idx="13">
                  <c:v>18.132139936578788</c:v>
                </c:pt>
                <c:pt idx="14">
                  <c:v>11.870106120928298</c:v>
                </c:pt>
                <c:pt idx="15">
                  <c:v>13.146309479543481</c:v>
                </c:pt>
                <c:pt idx="16">
                  <c:v>11.211772002164619</c:v>
                </c:pt>
                <c:pt idx="17">
                  <c:v>8.9776180181468028</c:v>
                </c:pt>
                <c:pt idx="18">
                  <c:v>-3.2327838268829292</c:v>
                </c:pt>
                <c:pt idx="19">
                  <c:v>-1.2159862376115478</c:v>
                </c:pt>
                <c:pt idx="20">
                  <c:v>-5.0957647237932591</c:v>
                </c:pt>
                <c:pt idx="21">
                  <c:v>-4.206860844830647</c:v>
                </c:pt>
                <c:pt idx="22">
                  <c:v>-3.0973555754801207</c:v>
                </c:pt>
                <c:pt idx="23">
                  <c:v>-7.9340099346010531</c:v>
                </c:pt>
                <c:pt idx="24">
                  <c:v>-11.389732068783616</c:v>
                </c:pt>
                <c:pt idx="25">
                  <c:v>-13.063768224593518</c:v>
                </c:pt>
                <c:pt idx="26">
                  <c:v>-13.090700094553394</c:v>
                </c:pt>
                <c:pt idx="27">
                  <c:v>-12.672429336417762</c:v>
                </c:pt>
                <c:pt idx="28">
                  <c:v>-8.8537661336825266</c:v>
                </c:pt>
                <c:pt idx="29">
                  <c:v>-7.2727206831161837</c:v>
                </c:pt>
                <c:pt idx="30">
                  <c:v>-7.7131091840762114</c:v>
                </c:pt>
                <c:pt idx="31">
                  <c:v>-8.0828133778612727</c:v>
                </c:pt>
                <c:pt idx="32">
                  <c:v>-14.22824639578895</c:v>
                </c:pt>
                <c:pt idx="33">
                  <c:v>-7.5906192549525784</c:v>
                </c:pt>
                <c:pt idx="34">
                  <c:v>-7.0591296227720894</c:v>
                </c:pt>
                <c:pt idx="35">
                  <c:v>-2.3745123557304657</c:v>
                </c:pt>
                <c:pt idx="36">
                  <c:v>5.7386765593441833</c:v>
                </c:pt>
                <c:pt idx="37">
                  <c:v>11.056984366480354</c:v>
                </c:pt>
                <c:pt idx="38">
                  <c:v>10.513852464527606</c:v>
                </c:pt>
                <c:pt idx="39">
                  <c:v>11.534776778164916</c:v>
                </c:pt>
                <c:pt idx="40">
                  <c:v>16.612852585837704</c:v>
                </c:pt>
                <c:pt idx="41" formatCode="0.0">
                  <c:v>14.986375562038818</c:v>
                </c:pt>
                <c:pt idx="42" formatCode="0.0">
                  <c:v>11.908882798368182</c:v>
                </c:pt>
                <c:pt idx="43" formatCode="0.0">
                  <c:v>9</c:v>
                </c:pt>
                <c:pt idx="44" formatCode="0.0">
                  <c:v>9.9894562713734363</c:v>
                </c:pt>
                <c:pt idx="45" formatCode="0.0">
                  <c:v>4.7256177899689273</c:v>
                </c:pt>
                <c:pt idx="46" formatCode="0.0">
                  <c:v>-3.6764057837750337</c:v>
                </c:pt>
                <c:pt idx="47" formatCode="0.0">
                  <c:v>-2.1591381326741157</c:v>
                </c:pt>
                <c:pt idx="48" formatCode="0.0">
                  <c:v>-4.6486149345966226</c:v>
                </c:pt>
                <c:pt idx="49" formatCode="0.0">
                  <c:v>-11.439989639150372</c:v>
                </c:pt>
                <c:pt idx="50">
                  <c:v>-17.395183495255491</c:v>
                </c:pt>
                <c:pt idx="51" formatCode="0.0">
                  <c:v>-17.398438698388123</c:v>
                </c:pt>
                <c:pt idx="52" formatCode="0.0">
                  <c:v>13.2</c:v>
                </c:pt>
                <c:pt idx="53" formatCode="0.0">
                  <c:v>0.23038768840290039</c:v>
                </c:pt>
                <c:pt idx="54" formatCode="0.0">
                  <c:v>9.3481827020713499</c:v>
                </c:pt>
                <c:pt idx="55" formatCode="0.0">
                  <c:v>-1.3718594161528617</c:v>
                </c:pt>
                <c:pt idx="56" formatCode="0.0">
                  <c:v>-21.440746708881587</c:v>
                </c:pt>
                <c:pt idx="57" formatCode="0.0">
                  <c:v>-34.307671667317287</c:v>
                </c:pt>
                <c:pt idx="58" formatCode="0.0">
                  <c:v>-41.560642466335395</c:v>
                </c:pt>
                <c:pt idx="59" formatCode="0.0">
                  <c:v>-43.041302609193096</c:v>
                </c:pt>
                <c:pt idx="60" formatCode="0.0">
                  <c:v>-38.777551768230154</c:v>
                </c:pt>
                <c:pt idx="61" formatCode="0.0">
                  <c:v>-43.671200534104102</c:v>
                </c:pt>
                <c:pt idx="62" formatCode="0.0">
                  <c:v>-41.711189325198177</c:v>
                </c:pt>
                <c:pt idx="63" formatCode="###0.0">
                  <c:v>-48.994448977266359</c:v>
                </c:pt>
                <c:pt idx="64" formatCode="###0.0">
                  <c:v>-47.314289216263752</c:v>
                </c:pt>
                <c:pt idx="65" formatCode="###0.0">
                  <c:v>-46.108012836936034</c:v>
                </c:pt>
              </c:numCache>
            </c:numRef>
          </c:val>
        </c:ser>
        <c:marker val="1"/>
        <c:axId val="118607872"/>
        <c:axId val="118609408"/>
      </c:lineChart>
      <c:catAx>
        <c:axId val="118607872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18609408"/>
        <c:crosses val="autoZero"/>
        <c:auto val="1"/>
        <c:lblAlgn val="ctr"/>
        <c:lblOffset val="100"/>
      </c:catAx>
      <c:valAx>
        <c:axId val="118609408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18607872"/>
        <c:crosses val="autoZero"/>
        <c:crossBetween val="between"/>
      </c:valAx>
    </c:plotArea>
    <c:legend>
      <c:legendPos val="b"/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/>
      <c:lineChart>
        <c:grouping val="standard"/>
        <c:ser>
          <c:idx val="0"/>
          <c:order val="0"/>
          <c:tx>
            <c:strRef>
              <c:f>'tableau note fr'!$A$5</c:f>
              <c:strCache>
                <c:ptCount val="1"/>
                <c:pt idx="0">
                  <c:v>Perspective d'évolution du nombre de chômeur</c:v>
                </c:pt>
              </c:strCache>
            </c:strRef>
          </c:tx>
          <c:marker>
            <c:symbol val="none"/>
          </c:marker>
          <c:cat>
            <c:strRef>
              <c:f>'tableau note fr'!$B$3:$BO$3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fr'!$B$5:$BO$5</c:f>
              <c:numCache>
                <c:formatCode>#,##0.0</c:formatCode>
                <c:ptCount val="66"/>
                <c:pt idx="0">
                  <c:v>-52.095692279179239</c:v>
                </c:pt>
                <c:pt idx="1">
                  <c:v>-56.601297669293238</c:v>
                </c:pt>
                <c:pt idx="2">
                  <c:v>-51.593765595534528</c:v>
                </c:pt>
                <c:pt idx="3">
                  <c:v>-51.137343653505525</c:v>
                </c:pt>
                <c:pt idx="4">
                  <c:v>-50.999102607130283</c:v>
                </c:pt>
                <c:pt idx="5">
                  <c:v>-59.135165785990033</c:v>
                </c:pt>
                <c:pt idx="6">
                  <c:v>-57.930600458568442</c:v>
                </c:pt>
                <c:pt idx="7">
                  <c:v>-57.517749523976484</c:v>
                </c:pt>
                <c:pt idx="8">
                  <c:v>-59.239397454073007</c:v>
                </c:pt>
                <c:pt idx="9">
                  <c:v>-61.048152851769579</c:v>
                </c:pt>
                <c:pt idx="10">
                  <c:v>-56.106436371502731</c:v>
                </c:pt>
                <c:pt idx="11">
                  <c:v>-52.335316844022486</c:v>
                </c:pt>
                <c:pt idx="12">
                  <c:v>-52.408437207990296</c:v>
                </c:pt>
                <c:pt idx="13">
                  <c:v>-45.98227848623344</c:v>
                </c:pt>
                <c:pt idx="14">
                  <c:v>-40.986479794930496</c:v>
                </c:pt>
                <c:pt idx="15">
                  <c:v>-41.619683700101234</c:v>
                </c:pt>
                <c:pt idx="16">
                  <c:v>-44.058495214148614</c:v>
                </c:pt>
                <c:pt idx="17">
                  <c:v>-48.557155794606146</c:v>
                </c:pt>
                <c:pt idx="18">
                  <c:v>-56.657119953107134</c:v>
                </c:pt>
                <c:pt idx="19">
                  <c:v>-58.054676707354794</c:v>
                </c:pt>
                <c:pt idx="20">
                  <c:v>-61.683132655398175</c:v>
                </c:pt>
                <c:pt idx="21">
                  <c:v>-67.848891093145681</c:v>
                </c:pt>
                <c:pt idx="22">
                  <c:v>-69.816287861188869</c:v>
                </c:pt>
                <c:pt idx="23">
                  <c:v>-68.20001271186625</c:v>
                </c:pt>
                <c:pt idx="24">
                  <c:v>-69.100751044168078</c:v>
                </c:pt>
                <c:pt idx="25">
                  <c:v>-66.493969881109308</c:v>
                </c:pt>
                <c:pt idx="26">
                  <c:v>-68.825577821249809</c:v>
                </c:pt>
                <c:pt idx="27">
                  <c:v>-68.019160185663324</c:v>
                </c:pt>
                <c:pt idx="28">
                  <c:v>-65.155740215393564</c:v>
                </c:pt>
                <c:pt idx="29">
                  <c:v>-67.056481822589518</c:v>
                </c:pt>
                <c:pt idx="30">
                  <c:v>-66.189276460398091</c:v>
                </c:pt>
                <c:pt idx="31">
                  <c:v>-64.100777949741683</c:v>
                </c:pt>
                <c:pt idx="32">
                  <c:v>-67.734442836360884</c:v>
                </c:pt>
                <c:pt idx="33">
                  <c:v>-68.976178952187595</c:v>
                </c:pt>
                <c:pt idx="34">
                  <c:v>-70.599999999999994</c:v>
                </c:pt>
                <c:pt idx="35">
                  <c:v>-66.808709762830389</c:v>
                </c:pt>
                <c:pt idx="36">
                  <c:v>-64.932045987858601</c:v>
                </c:pt>
                <c:pt idx="37">
                  <c:v>-54.327058153454743</c:v>
                </c:pt>
                <c:pt idx="38">
                  <c:v>-59.886763094223113</c:v>
                </c:pt>
                <c:pt idx="39">
                  <c:v>-58.5</c:v>
                </c:pt>
                <c:pt idx="40">
                  <c:v>-54.525998602090162</c:v>
                </c:pt>
                <c:pt idx="41" formatCode="0.0">
                  <c:v>-61.706282712863526</c:v>
                </c:pt>
                <c:pt idx="42" formatCode="0.0">
                  <c:v>-65.247643368132202</c:v>
                </c:pt>
                <c:pt idx="43" formatCode="0.0">
                  <c:v>-70</c:v>
                </c:pt>
                <c:pt idx="44" formatCode="0.0">
                  <c:v>-75.565732444458746</c:v>
                </c:pt>
                <c:pt idx="45" formatCode="0.0">
                  <c:v>-76.905120512383789</c:v>
                </c:pt>
                <c:pt idx="46" formatCode="0.0">
                  <c:v>-71.817697941940551</c:v>
                </c:pt>
                <c:pt idx="47" formatCode="0.0">
                  <c:v>-71.645886731132009</c:v>
                </c:pt>
                <c:pt idx="48" formatCode="0.0">
                  <c:v>-70.7934404370435</c:v>
                </c:pt>
                <c:pt idx="49" formatCode="0.0">
                  <c:v>-75.168553605935415</c:v>
                </c:pt>
                <c:pt idx="50">
                  <c:v>-82.012609773267997</c:v>
                </c:pt>
                <c:pt idx="51" formatCode="0.0">
                  <c:v>-78.280561499164364</c:v>
                </c:pt>
                <c:pt idx="52" formatCode="0.0">
                  <c:v>-62.2</c:v>
                </c:pt>
                <c:pt idx="53" formatCode="0.0">
                  <c:v>-69.830611321827732</c:v>
                </c:pt>
                <c:pt idx="54" formatCode="0.0">
                  <c:v>-78.313406558982848</c:v>
                </c:pt>
                <c:pt idx="55" formatCode="0.0">
                  <c:v>-77.577031249355031</c:v>
                </c:pt>
                <c:pt idx="56" formatCode="0.0">
                  <c:v>-82.803590957343502</c:v>
                </c:pt>
                <c:pt idx="57" formatCode="0.0">
                  <c:v>-81.13998967210614</c:v>
                </c:pt>
                <c:pt idx="58" formatCode="0.0">
                  <c:v>-83.498658671309315</c:v>
                </c:pt>
                <c:pt idx="59" formatCode="0.0">
                  <c:v>-79.636069225786045</c:v>
                </c:pt>
                <c:pt idx="60" formatCode="0.0">
                  <c:v>-81.38954071319634</c:v>
                </c:pt>
                <c:pt idx="61" formatCode="0.0">
                  <c:v>-80.426725462017416</c:v>
                </c:pt>
                <c:pt idx="62" formatCode="0.0">
                  <c:v>-81.916897779373627</c:v>
                </c:pt>
                <c:pt idx="63" formatCode="###0.0">
                  <c:v>-80.309196989481379</c:v>
                </c:pt>
                <c:pt idx="64" formatCode="###0.0">
                  <c:v>-77.526473493511418</c:v>
                </c:pt>
                <c:pt idx="65" formatCode="###0.0">
                  <c:v>-76.170799849846219</c:v>
                </c:pt>
              </c:numCache>
            </c:numRef>
          </c:val>
        </c:ser>
        <c:marker val="1"/>
        <c:axId val="118366976"/>
        <c:axId val="118368512"/>
      </c:lineChart>
      <c:catAx>
        <c:axId val="118366976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500"/>
            </a:pPr>
            <a:endParaRPr lang="fr-FR"/>
          </a:p>
        </c:txPr>
        <c:crossAx val="118368512"/>
        <c:crosses val="autoZero"/>
        <c:auto val="1"/>
        <c:lblAlgn val="ctr"/>
        <c:lblOffset val="100"/>
      </c:catAx>
      <c:valAx>
        <c:axId val="118368512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18366976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4.4033556097871122E-2"/>
          <c:y val="8.2714236436209537E-2"/>
          <c:w val="0.94772791848141691"/>
          <c:h val="0.80170727414801868"/>
        </c:manualLayout>
      </c:layout>
      <c:lineChart>
        <c:grouping val="standard"/>
        <c:ser>
          <c:idx val="0"/>
          <c:order val="0"/>
          <c:tx>
            <c:strRef>
              <c:f>'tableau note fr'!$A$8</c:f>
              <c:strCache>
                <c:ptCount val="1"/>
                <c:pt idx="0">
                  <c:v>Opportunité d'achat</c:v>
                </c:pt>
              </c:strCache>
            </c:strRef>
          </c:tx>
          <c:marker>
            <c:symbol val="none"/>
          </c:marker>
          <c:cat>
            <c:strRef>
              <c:f>'tableau note fr'!$B$3:$BO$3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fr'!$B$8:$BO$8</c:f>
              <c:numCache>
                <c:formatCode>#,##0.0</c:formatCode>
                <c:ptCount val="66"/>
                <c:pt idx="0">
                  <c:v>-30.018449770831776</c:v>
                </c:pt>
                <c:pt idx="1">
                  <c:v>-34.254528080670752</c:v>
                </c:pt>
                <c:pt idx="2">
                  <c:v>-37.471777984571169</c:v>
                </c:pt>
                <c:pt idx="3">
                  <c:v>-39.103064640682895</c:v>
                </c:pt>
                <c:pt idx="4">
                  <c:v>-41.765350509033965</c:v>
                </c:pt>
                <c:pt idx="5">
                  <c:v>-46.542730671354157</c:v>
                </c:pt>
                <c:pt idx="6">
                  <c:v>-43.408027388108131</c:v>
                </c:pt>
                <c:pt idx="7">
                  <c:v>-42.642623532569331</c:v>
                </c:pt>
                <c:pt idx="8">
                  <c:v>-34.756506471721544</c:v>
                </c:pt>
                <c:pt idx="9">
                  <c:v>-37.532519098271891</c:v>
                </c:pt>
                <c:pt idx="10">
                  <c:v>-36.012077907569903</c:v>
                </c:pt>
                <c:pt idx="11">
                  <c:v>-44.335673139521013</c:v>
                </c:pt>
                <c:pt idx="12">
                  <c:v>-39.860076277616699</c:v>
                </c:pt>
                <c:pt idx="13">
                  <c:v>-39.017818744674372</c:v>
                </c:pt>
                <c:pt idx="14">
                  <c:v>-36.350911088685244</c:v>
                </c:pt>
                <c:pt idx="15">
                  <c:v>-38.491211120248494</c:v>
                </c:pt>
                <c:pt idx="16">
                  <c:v>-32.485234146306901</c:v>
                </c:pt>
                <c:pt idx="17">
                  <c:v>-37.388587169100454</c:v>
                </c:pt>
                <c:pt idx="18">
                  <c:v>-29.521996232881474</c:v>
                </c:pt>
                <c:pt idx="19">
                  <c:v>-29.332441443088875</c:v>
                </c:pt>
                <c:pt idx="20">
                  <c:v>-28.348240299081684</c:v>
                </c:pt>
                <c:pt idx="21">
                  <c:v>-31.722199742496027</c:v>
                </c:pt>
                <c:pt idx="22">
                  <c:v>-29.53704552622213</c:v>
                </c:pt>
                <c:pt idx="23">
                  <c:v>-31.849081241594892</c:v>
                </c:pt>
                <c:pt idx="24">
                  <c:v>-31.319060011477994</c:v>
                </c:pt>
                <c:pt idx="25">
                  <c:v>-28.892463445062127</c:v>
                </c:pt>
                <c:pt idx="26">
                  <c:v>-33.067265037911191</c:v>
                </c:pt>
                <c:pt idx="27">
                  <c:v>-38.061946980941102</c:v>
                </c:pt>
                <c:pt idx="28">
                  <c:v>-36.986420638663795</c:v>
                </c:pt>
                <c:pt idx="29">
                  <c:v>-35.967938268219903</c:v>
                </c:pt>
                <c:pt idx="30">
                  <c:v>-34.247070009141204</c:v>
                </c:pt>
                <c:pt idx="31">
                  <c:v>-37.509325471422429</c:v>
                </c:pt>
                <c:pt idx="32">
                  <c:v>-40.239810197161113</c:v>
                </c:pt>
                <c:pt idx="33">
                  <c:v>-34.794169125290885</c:v>
                </c:pt>
                <c:pt idx="34">
                  <c:v>-40.511458517814845</c:v>
                </c:pt>
                <c:pt idx="35">
                  <c:v>-43.033835365277199</c:v>
                </c:pt>
                <c:pt idx="36">
                  <c:v>-39.999291784066401</c:v>
                </c:pt>
                <c:pt idx="37">
                  <c:v>-28.160977836062902</c:v>
                </c:pt>
                <c:pt idx="38">
                  <c:v>-31.475843594428074</c:v>
                </c:pt>
                <c:pt idx="39">
                  <c:v>-25.6</c:v>
                </c:pt>
                <c:pt idx="40">
                  <c:v>-27.18964434216452</c:v>
                </c:pt>
                <c:pt idx="41" formatCode="0.0">
                  <c:v>-25.753095123938731</c:v>
                </c:pt>
                <c:pt idx="42" formatCode="0.0">
                  <c:v>-30.193271317535196</c:v>
                </c:pt>
                <c:pt idx="43" formatCode="0.0">
                  <c:v>-36.800000000000004</c:v>
                </c:pt>
                <c:pt idx="44" formatCode="0.0">
                  <c:v>-36.294477943510053</c:v>
                </c:pt>
                <c:pt idx="45" formatCode="0.0">
                  <c:v>-41.423646990592751</c:v>
                </c:pt>
                <c:pt idx="46" formatCode="0.0">
                  <c:v>-37.730567473068348</c:v>
                </c:pt>
                <c:pt idx="47" formatCode="0.0">
                  <c:v>-29.21833531467249</c:v>
                </c:pt>
                <c:pt idx="48" formatCode="0.0">
                  <c:v>-32.611752500665851</c:v>
                </c:pt>
                <c:pt idx="49" formatCode="0.0">
                  <c:v>-67.951617125134092</c:v>
                </c:pt>
                <c:pt idx="50">
                  <c:v>-63.469757370471974</c:v>
                </c:pt>
                <c:pt idx="51" formatCode="0.0">
                  <c:v>-61.233843482530801</c:v>
                </c:pt>
                <c:pt idx="52" formatCode="0.0">
                  <c:v>-61.6</c:v>
                </c:pt>
                <c:pt idx="53" formatCode="0.0">
                  <c:v>-65.565215742281509</c:v>
                </c:pt>
                <c:pt idx="54" formatCode="0.0">
                  <c:v>-61.974386136345984</c:v>
                </c:pt>
                <c:pt idx="55" formatCode="0.0">
                  <c:v>-62.794548879325561</c:v>
                </c:pt>
                <c:pt idx="56" formatCode="0.0">
                  <c:v>-66.694844970978195</c:v>
                </c:pt>
                <c:pt idx="57" formatCode="0.0">
                  <c:v>-69.145089033375214</c:v>
                </c:pt>
                <c:pt idx="58" formatCode="0.0">
                  <c:v>-74.005196986116957</c:v>
                </c:pt>
                <c:pt idx="59" formatCode="0.0">
                  <c:v>-70.308042764648889</c:v>
                </c:pt>
                <c:pt idx="60" formatCode="0.0">
                  <c:v>-69.793610379094631</c:v>
                </c:pt>
                <c:pt idx="61" formatCode="0.0">
                  <c:v>-68.920694966427703</c:v>
                </c:pt>
                <c:pt idx="62" formatCode="0.0">
                  <c:v>-71.5</c:v>
                </c:pt>
                <c:pt idx="63" formatCode="###0.0">
                  <c:v>-70.412710928240756</c:v>
                </c:pt>
                <c:pt idx="64" formatCode="###0.0">
                  <c:v>-72.89367097061033</c:v>
                </c:pt>
                <c:pt idx="65" formatCode="###0.0">
                  <c:v>-69.358984535014159</c:v>
                </c:pt>
              </c:numCache>
            </c:numRef>
          </c:val>
        </c:ser>
        <c:marker val="1"/>
        <c:axId val="118407936"/>
        <c:axId val="118409472"/>
      </c:lineChart>
      <c:catAx>
        <c:axId val="118407936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18409472"/>
        <c:crosses val="autoZero"/>
        <c:auto val="1"/>
        <c:lblAlgn val="ctr"/>
        <c:lblOffset val="100"/>
      </c:catAx>
      <c:valAx>
        <c:axId val="118409472"/>
        <c:scaling>
          <c:orientation val="minMax"/>
        </c:scaling>
        <c:axPos val="l"/>
        <c:majorGridlines/>
        <c:numFmt formatCode="#,##0" sourceLinked="0"/>
        <c:tickLblPos val="nextTo"/>
        <c:txPr>
          <a:bodyPr/>
          <a:lstStyle/>
          <a:p>
            <a:pPr>
              <a:defRPr lang="en-US" sz="900"/>
            </a:pPr>
            <a:endParaRPr lang="fr-FR"/>
          </a:p>
        </c:txPr>
        <c:crossAx val="118407936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4.1670411103691893E-2"/>
          <c:y val="6.7532486357595609E-2"/>
          <c:w val="0.93639219729304013"/>
          <c:h val="0.61362004416786364"/>
        </c:manualLayout>
      </c:layout>
      <c:lineChart>
        <c:grouping val="standard"/>
        <c:ser>
          <c:idx val="0"/>
          <c:order val="0"/>
          <c:tx>
            <c:strRef>
              <c:f>'tableau note fr'!$A$9</c:f>
              <c:strCache>
                <c:ptCount val="1"/>
                <c:pt idx="0">
                  <c:v>Situation financière actuelle des ménages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fr'!$B$3:$BO$3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fr'!$B$9:$BO$9</c:f>
              <c:numCache>
                <c:formatCode>#,##0.0</c:formatCode>
                <c:ptCount val="66"/>
                <c:pt idx="0">
                  <c:v>-33.000396349797541</c:v>
                </c:pt>
                <c:pt idx="1">
                  <c:v>-32.92085732825101</c:v>
                </c:pt>
                <c:pt idx="2">
                  <c:v>-34.418326375664194</c:v>
                </c:pt>
                <c:pt idx="3">
                  <c:v>-33.119220631579381</c:v>
                </c:pt>
                <c:pt idx="4">
                  <c:v>-31.284887127595891</c:v>
                </c:pt>
                <c:pt idx="5">
                  <c:v>-26.871936633729426</c:v>
                </c:pt>
                <c:pt idx="6">
                  <c:v>-28.286909450889887</c:v>
                </c:pt>
                <c:pt idx="7">
                  <c:v>-25.297554133135563</c:v>
                </c:pt>
                <c:pt idx="8">
                  <c:v>-27.535808431365773</c:v>
                </c:pt>
                <c:pt idx="9">
                  <c:v>-27.628417792744592</c:v>
                </c:pt>
                <c:pt idx="10">
                  <c:v>-29.997502753451052</c:v>
                </c:pt>
                <c:pt idx="11">
                  <c:v>-28.062624892496302</c:v>
                </c:pt>
                <c:pt idx="12">
                  <c:v>-30.64549893190372</c:v>
                </c:pt>
                <c:pt idx="13">
                  <c:v>-27.092549889444303</c:v>
                </c:pt>
                <c:pt idx="14">
                  <c:v>-24.28899054728441</c:v>
                </c:pt>
                <c:pt idx="15">
                  <c:v>-25.66971218134972</c:v>
                </c:pt>
                <c:pt idx="16">
                  <c:v>-25.435462945688826</c:v>
                </c:pt>
                <c:pt idx="17">
                  <c:v>-31.040689498948886</c:v>
                </c:pt>
                <c:pt idx="18">
                  <c:v>-30.846093343724188</c:v>
                </c:pt>
                <c:pt idx="19">
                  <c:v>-29.426966691861256</c:v>
                </c:pt>
                <c:pt idx="20">
                  <c:v>-29.764200665198015</c:v>
                </c:pt>
                <c:pt idx="21">
                  <c:v>-30.168616451396016</c:v>
                </c:pt>
                <c:pt idx="22">
                  <c:v>-29.484131282651209</c:v>
                </c:pt>
                <c:pt idx="23">
                  <c:v>-29.485585569479941</c:v>
                </c:pt>
                <c:pt idx="24">
                  <c:v>-31.290770339915035</c:v>
                </c:pt>
                <c:pt idx="25">
                  <c:v>-29.704256665370011</c:v>
                </c:pt>
                <c:pt idx="26">
                  <c:v>-28.344504427944035</c:v>
                </c:pt>
                <c:pt idx="27">
                  <c:v>-30.637429411694061</c:v>
                </c:pt>
                <c:pt idx="28">
                  <c:v>-32.404955656558201</c:v>
                </c:pt>
                <c:pt idx="29">
                  <c:v>-28</c:v>
                </c:pt>
                <c:pt idx="30">
                  <c:v>-25.071467645625653</c:v>
                </c:pt>
                <c:pt idx="31">
                  <c:v>-25.699936983325859</c:v>
                </c:pt>
                <c:pt idx="32">
                  <c:v>-27.232686212381406</c:v>
                </c:pt>
                <c:pt idx="33">
                  <c:v>-22.997618165471859</c:v>
                </c:pt>
                <c:pt idx="34">
                  <c:v>-25.8</c:v>
                </c:pt>
                <c:pt idx="35">
                  <c:v>-28.725836843764029</c:v>
                </c:pt>
                <c:pt idx="36">
                  <c:v>-27.797585066069505</c:v>
                </c:pt>
                <c:pt idx="37">
                  <c:v>-25.340990239285759</c:v>
                </c:pt>
                <c:pt idx="38">
                  <c:v>-22.581783906285729</c:v>
                </c:pt>
                <c:pt idx="39">
                  <c:v>-24.392000147868323</c:v>
                </c:pt>
                <c:pt idx="40">
                  <c:v>-25.236685531801324</c:v>
                </c:pt>
                <c:pt idx="41" formatCode="0.0">
                  <c:v>-24.077817715725971</c:v>
                </c:pt>
                <c:pt idx="42" formatCode="0.0">
                  <c:v>-29.675061855859198</c:v>
                </c:pt>
                <c:pt idx="43" formatCode="0.0">
                  <c:v>-28.4</c:v>
                </c:pt>
                <c:pt idx="44" formatCode="0.0">
                  <c:v>-28.874306637901327</c:v>
                </c:pt>
                <c:pt idx="45" formatCode="0.0">
                  <c:v>-30.794330285810986</c:v>
                </c:pt>
                <c:pt idx="46" formatCode="0.0">
                  <c:v>-29.543474949783889</c:v>
                </c:pt>
                <c:pt idx="47" formatCode="0.0">
                  <c:v>-26.38685501138583</c:v>
                </c:pt>
                <c:pt idx="48" formatCode="0.0">
                  <c:v>-27.711995909750648</c:v>
                </c:pt>
                <c:pt idx="49" formatCode="0.0">
                  <c:v>-29.955220894721631</c:v>
                </c:pt>
                <c:pt idx="50">
                  <c:v>-31.50482545170048</c:v>
                </c:pt>
                <c:pt idx="51" formatCode="0.0">
                  <c:v>-29.083585505842859</c:v>
                </c:pt>
                <c:pt idx="52" formatCode="0.0">
                  <c:v>-34.4</c:v>
                </c:pt>
                <c:pt idx="53" formatCode="0.0">
                  <c:v>-38.035486047325477</c:v>
                </c:pt>
                <c:pt idx="54" formatCode="0.0">
                  <c:v>-36.428256542769461</c:v>
                </c:pt>
                <c:pt idx="55" formatCode="0.0">
                  <c:v>-40.395301048613071</c:v>
                </c:pt>
                <c:pt idx="56" formatCode="0.0">
                  <c:v>-43.360121736390973</c:v>
                </c:pt>
                <c:pt idx="57" formatCode="0.0">
                  <c:v>-42.859520384168782</c:v>
                </c:pt>
                <c:pt idx="58" formatCode="0.0">
                  <c:v>-40.852070365263728</c:v>
                </c:pt>
                <c:pt idx="59" formatCode="0.0">
                  <c:v>-42.07326291523227</c:v>
                </c:pt>
                <c:pt idx="60" formatCode="0.0">
                  <c:v>-42.039252344626163</c:v>
                </c:pt>
                <c:pt idx="61" formatCode="0.0">
                  <c:v>-41.443683343818755</c:v>
                </c:pt>
                <c:pt idx="62" formatCode="0.0">
                  <c:v>-40.15308778785419</c:v>
                </c:pt>
                <c:pt idx="63" formatCode="###0.0">
                  <c:v>-40.292970217529181</c:v>
                </c:pt>
                <c:pt idx="64" formatCode="###0.0">
                  <c:v>-40.642848388770993</c:v>
                </c:pt>
                <c:pt idx="65" formatCode="###0.0">
                  <c:v>-40.021764603960257</c:v>
                </c:pt>
              </c:numCache>
            </c:numRef>
          </c:val>
        </c:ser>
        <c:ser>
          <c:idx val="1"/>
          <c:order val="1"/>
          <c:tx>
            <c:strRef>
              <c:f>'tableau note fr'!$A$10</c:f>
              <c:strCache>
                <c:ptCount val="1"/>
                <c:pt idx="0">
                  <c:v>Evolution  passée de la situation financière des ménages</c:v>
                </c:pt>
              </c:strCache>
            </c:strRef>
          </c:tx>
          <c:cat>
            <c:strRef>
              <c:f>'tableau note fr'!$B$3:$BO$3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fr'!$B$10:$BO$10</c:f>
              <c:numCache>
                <c:formatCode>#,##0.0</c:formatCode>
                <c:ptCount val="66"/>
                <c:pt idx="0">
                  <c:v>-11.760493904860514</c:v>
                </c:pt>
                <c:pt idx="1">
                  <c:v>-11.376439540974181</c:v>
                </c:pt>
                <c:pt idx="2">
                  <c:v>-11.707546774199256</c:v>
                </c:pt>
                <c:pt idx="3">
                  <c:v>-9.5250570435126427</c:v>
                </c:pt>
                <c:pt idx="4">
                  <c:v>-18.438210074457348</c:v>
                </c:pt>
                <c:pt idx="5">
                  <c:v>-13.353492384896771</c:v>
                </c:pt>
                <c:pt idx="6">
                  <c:v>-8.3398771422969418</c:v>
                </c:pt>
                <c:pt idx="7">
                  <c:v>-11.02764060888175</c:v>
                </c:pt>
                <c:pt idx="8">
                  <c:v>-9.9712946623485852</c:v>
                </c:pt>
                <c:pt idx="9">
                  <c:v>-7.900036816111526</c:v>
                </c:pt>
                <c:pt idx="10">
                  <c:v>-7.5448517126855705</c:v>
                </c:pt>
                <c:pt idx="11">
                  <c:v>-12.80990794833837</c:v>
                </c:pt>
                <c:pt idx="12">
                  <c:v>-10.526395373972909</c:v>
                </c:pt>
                <c:pt idx="13">
                  <c:v>-8.9058745431594577</c:v>
                </c:pt>
                <c:pt idx="14">
                  <c:v>-6.3663328535796895</c:v>
                </c:pt>
                <c:pt idx="15">
                  <c:v>-9.8004349690184114</c:v>
                </c:pt>
                <c:pt idx="16">
                  <c:v>-14.12986220998387</c:v>
                </c:pt>
                <c:pt idx="17">
                  <c:v>-16.595107957258964</c:v>
                </c:pt>
                <c:pt idx="18">
                  <c:v>-16.673706990082124</c:v>
                </c:pt>
                <c:pt idx="19">
                  <c:v>-15.707035536653336</c:v>
                </c:pt>
                <c:pt idx="20">
                  <c:v>-19.633449783694058</c:v>
                </c:pt>
                <c:pt idx="21">
                  <c:v>-23.788807201688929</c:v>
                </c:pt>
                <c:pt idx="22">
                  <c:v>-21.891965579068515</c:v>
                </c:pt>
                <c:pt idx="23">
                  <c:v>-21.870867995539985</c:v>
                </c:pt>
                <c:pt idx="24">
                  <c:v>-21.277780753263979</c:v>
                </c:pt>
                <c:pt idx="25">
                  <c:v>-23.337257864101161</c:v>
                </c:pt>
                <c:pt idx="26">
                  <c:v>-25.773771694272</c:v>
                </c:pt>
                <c:pt idx="27">
                  <c:v>-29.150994705705731</c:v>
                </c:pt>
                <c:pt idx="28">
                  <c:v>-26.965288381475755</c:v>
                </c:pt>
                <c:pt idx="29">
                  <c:v>-20.216971341645095</c:v>
                </c:pt>
                <c:pt idx="30">
                  <c:v>-20.789363149769265</c:v>
                </c:pt>
                <c:pt idx="31">
                  <c:v>-18.50333400384844</c:v>
                </c:pt>
                <c:pt idx="32">
                  <c:v>-27.39802285641521</c:v>
                </c:pt>
                <c:pt idx="33">
                  <c:v>-22.820131487915329</c:v>
                </c:pt>
                <c:pt idx="34">
                  <c:v>-26.987361336961175</c:v>
                </c:pt>
                <c:pt idx="35">
                  <c:v>-33.305012733303052</c:v>
                </c:pt>
                <c:pt idx="36">
                  <c:v>-26.764408087130526</c:v>
                </c:pt>
                <c:pt idx="37">
                  <c:v>-16.626704252959726</c:v>
                </c:pt>
                <c:pt idx="38">
                  <c:v>-14.506801572644624</c:v>
                </c:pt>
                <c:pt idx="39">
                  <c:v>-16.7</c:v>
                </c:pt>
                <c:pt idx="40">
                  <c:v>-18.12020796730943</c:v>
                </c:pt>
                <c:pt idx="41" formatCode="0.0">
                  <c:v>-15.241299993196503</c:v>
                </c:pt>
                <c:pt idx="42" formatCode="0.0">
                  <c:v>-18.212765523946558</c:v>
                </c:pt>
                <c:pt idx="43" formatCode="0.0">
                  <c:v>-20.7</c:v>
                </c:pt>
                <c:pt idx="44" formatCode="0.0">
                  <c:v>-21.239570741294095</c:v>
                </c:pt>
                <c:pt idx="45" formatCode="0.0">
                  <c:v>-24.187755596841431</c:v>
                </c:pt>
                <c:pt idx="46" formatCode="0.0">
                  <c:v>-26.020639530378226</c:v>
                </c:pt>
                <c:pt idx="47" formatCode="0.0">
                  <c:v>-22.058531326387186</c:v>
                </c:pt>
                <c:pt idx="48" formatCode="0.0">
                  <c:v>-22.878127876162257</c:v>
                </c:pt>
                <c:pt idx="49" formatCode="0.0">
                  <c:v>-26.986745192981445</c:v>
                </c:pt>
                <c:pt idx="50">
                  <c:v>-33.978821699551595</c:v>
                </c:pt>
                <c:pt idx="51" formatCode="0.0">
                  <c:v>-39.90109851869709</c:v>
                </c:pt>
                <c:pt idx="52" formatCode="0.0">
                  <c:v>-47.4</c:v>
                </c:pt>
                <c:pt idx="53" formatCode="0.0">
                  <c:v>-49.983603873811994</c:v>
                </c:pt>
                <c:pt idx="54" formatCode="0.0">
                  <c:v>-47.976189869600475</c:v>
                </c:pt>
                <c:pt idx="55" formatCode="0.0">
                  <c:v>-48.996187860965861</c:v>
                </c:pt>
                <c:pt idx="56" formatCode="0.0">
                  <c:v>-50.91498936521694</c:v>
                </c:pt>
                <c:pt idx="57" formatCode="0.0">
                  <c:v>-48.69573937207943</c:v>
                </c:pt>
                <c:pt idx="58" formatCode="0.0">
                  <c:v>-47.705982595091868</c:v>
                </c:pt>
                <c:pt idx="59" formatCode="0.0">
                  <c:v>-52.997909819539807</c:v>
                </c:pt>
                <c:pt idx="60" formatCode="0.0">
                  <c:v>-57.178423227688718</c:v>
                </c:pt>
                <c:pt idx="61" formatCode="0.0">
                  <c:v>-57.331610038737644</c:v>
                </c:pt>
                <c:pt idx="62" formatCode="0.0">
                  <c:v>-53.292717144326573</c:v>
                </c:pt>
                <c:pt idx="63" formatCode="###0.0">
                  <c:v>-56.121074921872378</c:v>
                </c:pt>
                <c:pt idx="64" formatCode="###0.0">
                  <c:v>-52.724256191098604</c:v>
                </c:pt>
                <c:pt idx="65" formatCode="###0.0">
                  <c:v>-53.21922046669399</c:v>
                </c:pt>
              </c:numCache>
            </c:numRef>
          </c:val>
        </c:ser>
        <c:ser>
          <c:idx val="2"/>
          <c:order val="2"/>
          <c:tx>
            <c:strRef>
              <c:f>'tableau note fr'!$A$11</c:f>
              <c:strCache>
                <c:ptCount val="1"/>
                <c:pt idx="0">
                  <c:v>Evolution  future de la situation financière des ménages</c:v>
                </c:pt>
              </c:strCache>
            </c:strRef>
          </c:tx>
          <c:cat>
            <c:strRef>
              <c:f>'tableau note fr'!$B$3:$BO$3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fr'!$B$11:$BO$11</c:f>
              <c:numCache>
                <c:formatCode>#,##0.0</c:formatCode>
                <c:ptCount val="66"/>
                <c:pt idx="0">
                  <c:v>23.9</c:v>
                </c:pt>
                <c:pt idx="1">
                  <c:v>15.58418860861071</c:v>
                </c:pt>
                <c:pt idx="2">
                  <c:v>16.580364039590329</c:v>
                </c:pt>
                <c:pt idx="3">
                  <c:v>26.705941849103173</c:v>
                </c:pt>
                <c:pt idx="4">
                  <c:v>26.769154239001914</c:v>
                </c:pt>
                <c:pt idx="5">
                  <c:v>21.986954089697061</c:v>
                </c:pt>
                <c:pt idx="6">
                  <c:v>17.532817766676509</c:v>
                </c:pt>
                <c:pt idx="7">
                  <c:v>17.09400625121032</c:v>
                </c:pt>
                <c:pt idx="8">
                  <c:v>17.787694440036187</c:v>
                </c:pt>
                <c:pt idx="9">
                  <c:v>11.776375704730492</c:v>
                </c:pt>
                <c:pt idx="10">
                  <c:v>7.8068380126684715</c:v>
                </c:pt>
                <c:pt idx="11">
                  <c:v>9.3656519222157506</c:v>
                </c:pt>
                <c:pt idx="12">
                  <c:v>10.223761077165181</c:v>
                </c:pt>
                <c:pt idx="13">
                  <c:v>20.354548457792731</c:v>
                </c:pt>
                <c:pt idx="14">
                  <c:v>15.105327443781253</c:v>
                </c:pt>
                <c:pt idx="15">
                  <c:v>13.999505506513676</c:v>
                </c:pt>
                <c:pt idx="16">
                  <c:v>11.230833640450321</c:v>
                </c:pt>
                <c:pt idx="17">
                  <c:v>11.136340416980383</c:v>
                </c:pt>
                <c:pt idx="18">
                  <c:v>7.6658451594012913</c:v>
                </c:pt>
                <c:pt idx="19">
                  <c:v>10.649290737183625</c:v>
                </c:pt>
                <c:pt idx="20">
                  <c:v>4.5484811189173895</c:v>
                </c:pt>
                <c:pt idx="21">
                  <c:v>0.71644439200690369</c:v>
                </c:pt>
                <c:pt idx="22">
                  <c:v>2.7930128120198785</c:v>
                </c:pt>
                <c:pt idx="23">
                  <c:v>-1.7003971659207209</c:v>
                </c:pt>
                <c:pt idx="24">
                  <c:v>1.2126606998519158</c:v>
                </c:pt>
                <c:pt idx="25">
                  <c:v>-2.6659512091834952</c:v>
                </c:pt>
                <c:pt idx="26">
                  <c:v>-1.4735728224612341</c:v>
                </c:pt>
                <c:pt idx="27">
                  <c:v>-3.9139038482871595</c:v>
                </c:pt>
                <c:pt idx="28">
                  <c:v>8.9330913123193523E-2</c:v>
                </c:pt>
                <c:pt idx="29">
                  <c:v>4.1756310519058966</c:v>
                </c:pt>
                <c:pt idx="30">
                  <c:v>3.3451516718598637</c:v>
                </c:pt>
                <c:pt idx="31">
                  <c:v>7.6417999475620588</c:v>
                </c:pt>
                <c:pt idx="32">
                  <c:v>1.2373351928093994</c:v>
                </c:pt>
                <c:pt idx="33">
                  <c:v>2.2988859177154</c:v>
                </c:pt>
                <c:pt idx="34">
                  <c:v>4.9642092382991612</c:v>
                </c:pt>
                <c:pt idx="35">
                  <c:v>6.4877666459978194</c:v>
                </c:pt>
                <c:pt idx="36">
                  <c:v>13.359772169150252</c:v>
                </c:pt>
                <c:pt idx="37">
                  <c:v>22.123807522802235</c:v>
                </c:pt>
                <c:pt idx="38">
                  <c:v>19.596485843359812</c:v>
                </c:pt>
                <c:pt idx="39">
                  <c:v>19.180868333171652</c:v>
                </c:pt>
                <c:pt idx="40">
                  <c:v>25.92642448837821</c:v>
                </c:pt>
                <c:pt idx="41" formatCode="0.0">
                  <c:v>28.130493740025226</c:v>
                </c:pt>
                <c:pt idx="42" formatCode="0.0">
                  <c:v>18.237772049662329</c:v>
                </c:pt>
                <c:pt idx="43" formatCode="0.0">
                  <c:v>19.100000000000001</c:v>
                </c:pt>
                <c:pt idx="44" formatCode="0.0">
                  <c:v>20.686932465103727</c:v>
                </c:pt>
                <c:pt idx="45" formatCode="0.0">
                  <c:v>18.273992721467774</c:v>
                </c:pt>
                <c:pt idx="46" formatCode="0.0">
                  <c:v>12.775065694831193</c:v>
                </c:pt>
                <c:pt idx="47" formatCode="0.0">
                  <c:v>15.94903787101663</c:v>
                </c:pt>
                <c:pt idx="48" formatCode="0.0">
                  <c:v>8.5440476832129519</c:v>
                </c:pt>
                <c:pt idx="49" formatCode="0.0">
                  <c:v>-4.5622056678242258</c:v>
                </c:pt>
                <c:pt idx="50" formatCode="0.0">
                  <c:v>-11.891224568065192</c:v>
                </c:pt>
                <c:pt idx="51" formatCode="0.0">
                  <c:v>0.5872218846748406</c:v>
                </c:pt>
                <c:pt idx="52" formatCode="0.0">
                  <c:v>21.2</c:v>
                </c:pt>
                <c:pt idx="53" formatCode="0.0">
                  <c:v>14.805679039075407</c:v>
                </c:pt>
                <c:pt idx="54" formatCode="0.0">
                  <c:v>15.138710068393648</c:v>
                </c:pt>
                <c:pt idx="55" formatCode="0.0">
                  <c:v>15.055968466044563</c:v>
                </c:pt>
                <c:pt idx="56" formatCode="0.0">
                  <c:v>8.282066334968075</c:v>
                </c:pt>
                <c:pt idx="57" formatCode="0.0">
                  <c:v>-0.1</c:v>
                </c:pt>
                <c:pt idx="58" formatCode="0.0">
                  <c:v>-5.9102037420420483</c:v>
                </c:pt>
                <c:pt idx="59" formatCode="0.0">
                  <c:v>-7.7399452408305418</c:v>
                </c:pt>
                <c:pt idx="60" formatCode="0.0">
                  <c:v>-5.1985459027706948</c:v>
                </c:pt>
                <c:pt idx="61" formatCode="0.0">
                  <c:v>-6.1002172114981841</c:v>
                </c:pt>
                <c:pt idx="62" formatCode="0.0">
                  <c:v>-4.5998255292449253</c:v>
                </c:pt>
                <c:pt idx="63" formatCode="###0.0">
                  <c:v>-10.595611360365607</c:v>
                </c:pt>
                <c:pt idx="64" formatCode="###0.0">
                  <c:v>-13.430489181160725</c:v>
                </c:pt>
                <c:pt idx="65" formatCode="###0.0">
                  <c:v>-13.916704951392704</c:v>
                </c:pt>
              </c:numCache>
            </c:numRef>
          </c:val>
        </c:ser>
        <c:marker val="1"/>
        <c:axId val="118454912"/>
        <c:axId val="118464896"/>
      </c:lineChart>
      <c:catAx>
        <c:axId val="118454912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18464896"/>
        <c:crosses val="autoZero"/>
        <c:auto val="1"/>
        <c:lblAlgn val="ctr"/>
        <c:lblOffset val="100"/>
      </c:catAx>
      <c:valAx>
        <c:axId val="118464896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1845491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3.1269157987250502E-2"/>
          <c:y val="0.79972018608806261"/>
          <c:w val="0.95088879467591669"/>
          <c:h val="0.17982526662717141"/>
        </c:manualLayout>
      </c:layout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6.0527361936278584E-2"/>
          <c:y val="4.8973762643936519E-2"/>
          <c:w val="0.92747670749546018"/>
          <c:h val="0.73061896563869899"/>
        </c:manualLayout>
      </c:layout>
      <c:lineChart>
        <c:grouping val="standard"/>
        <c:ser>
          <c:idx val="0"/>
          <c:order val="0"/>
          <c:tx>
            <c:strRef>
              <c:f>'tableau note fr'!$A$13</c:f>
              <c:strCache>
                <c:ptCount val="1"/>
                <c:pt idx="0">
                  <c:v>Evolution future des prix des produits alimentaires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fr'!$B$3:$BO$3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fr'!$B$13:$BO$13</c:f>
              <c:numCache>
                <c:formatCode>#,##0.0</c:formatCode>
                <c:ptCount val="66"/>
                <c:pt idx="0">
                  <c:v>-74.061389031284818</c:v>
                </c:pt>
                <c:pt idx="1">
                  <c:v>-77.716574651610415</c:v>
                </c:pt>
                <c:pt idx="2">
                  <c:v>-78.940542419693813</c:v>
                </c:pt>
                <c:pt idx="3">
                  <c:v>-49.653420650313493</c:v>
                </c:pt>
                <c:pt idx="4">
                  <c:v>-34.869529990694446</c:v>
                </c:pt>
                <c:pt idx="5">
                  <c:v>-33.523065681383336</c:v>
                </c:pt>
                <c:pt idx="6">
                  <c:v>-50.919242344766445</c:v>
                </c:pt>
                <c:pt idx="7">
                  <c:v>-47.871947864454548</c:v>
                </c:pt>
                <c:pt idx="8">
                  <c:v>-46.515022811525846</c:v>
                </c:pt>
                <c:pt idx="9">
                  <c:v>-56.83293201142795</c:v>
                </c:pt>
                <c:pt idx="10">
                  <c:v>-62.176731306136944</c:v>
                </c:pt>
                <c:pt idx="11">
                  <c:v>-70.131788082404086</c:v>
                </c:pt>
                <c:pt idx="12">
                  <c:v>-73.412747182583786</c:v>
                </c:pt>
                <c:pt idx="13">
                  <c:v>-58.832065504603946</c:v>
                </c:pt>
                <c:pt idx="14">
                  <c:v>-72.59048616904964</c:v>
                </c:pt>
                <c:pt idx="15">
                  <c:v>-72.965887012434891</c:v>
                </c:pt>
                <c:pt idx="16">
                  <c:v>-69.834720496858949</c:v>
                </c:pt>
                <c:pt idx="17">
                  <c:v>-71.450027411204985</c:v>
                </c:pt>
                <c:pt idx="18">
                  <c:v>-73.578371466433779</c:v>
                </c:pt>
                <c:pt idx="19">
                  <c:v>-70.049698245525676</c:v>
                </c:pt>
                <c:pt idx="20">
                  <c:v>-76.096296687300708</c:v>
                </c:pt>
                <c:pt idx="21">
                  <c:v>-73.375476646911494</c:v>
                </c:pt>
                <c:pt idx="22">
                  <c:v>-76.007455926126042</c:v>
                </c:pt>
                <c:pt idx="23">
                  <c:v>-76.048555842624424</c:v>
                </c:pt>
                <c:pt idx="24">
                  <c:v>-77.551787041299889</c:v>
                </c:pt>
                <c:pt idx="25">
                  <c:v>-78.042355521266373</c:v>
                </c:pt>
                <c:pt idx="26">
                  <c:v>-76.898841721729696</c:v>
                </c:pt>
                <c:pt idx="27">
                  <c:v>-77.2</c:v>
                </c:pt>
                <c:pt idx="28">
                  <c:v>-77.231717010323948</c:v>
                </c:pt>
                <c:pt idx="29">
                  <c:v>-75.641194802119557</c:v>
                </c:pt>
                <c:pt idx="30">
                  <c:v>-75.301499740412396</c:v>
                </c:pt>
                <c:pt idx="31">
                  <c:v>-75.201077205088083</c:v>
                </c:pt>
                <c:pt idx="32">
                  <c:v>-79.25874198980361</c:v>
                </c:pt>
                <c:pt idx="33">
                  <c:v>-77.326465444648022</c:v>
                </c:pt>
                <c:pt idx="34">
                  <c:v>-77.900000000000006</c:v>
                </c:pt>
                <c:pt idx="35">
                  <c:v>-77.33590195130148</c:v>
                </c:pt>
                <c:pt idx="36">
                  <c:v>-77.664169536728878</c:v>
                </c:pt>
                <c:pt idx="37">
                  <c:v>-74.5</c:v>
                </c:pt>
                <c:pt idx="38">
                  <c:v>-73.964173414184586</c:v>
                </c:pt>
                <c:pt idx="39">
                  <c:v>-79.602800137507771</c:v>
                </c:pt>
                <c:pt idx="40">
                  <c:v>-82.909090889011466</c:v>
                </c:pt>
                <c:pt idx="41" formatCode="0.0">
                  <c:v>-84.024833717392056</c:v>
                </c:pt>
                <c:pt idx="42">
                  <c:v>-82.078038176837254</c:v>
                </c:pt>
                <c:pt idx="43">
                  <c:v>-86.6</c:v>
                </c:pt>
                <c:pt idx="44">
                  <c:v>-87.54271632969234</c:v>
                </c:pt>
                <c:pt idx="45">
                  <c:v>-86.508482649196509</c:v>
                </c:pt>
                <c:pt idx="46">
                  <c:v>-83.288697742697579</c:v>
                </c:pt>
                <c:pt idx="47">
                  <c:v>-82.220036585575144</c:v>
                </c:pt>
                <c:pt idx="48">
                  <c:v>-82.585609750348496</c:v>
                </c:pt>
                <c:pt idx="49" formatCode="0.0">
                  <c:v>-69.044082249116087</c:v>
                </c:pt>
                <c:pt idx="50">
                  <c:v>-68.063522341730973</c:v>
                </c:pt>
                <c:pt idx="51" formatCode="0.0">
                  <c:v>-64.634662916008139</c:v>
                </c:pt>
                <c:pt idx="52" formatCode="0.0">
                  <c:v>-60.2</c:v>
                </c:pt>
                <c:pt idx="53" formatCode="0.0">
                  <c:v>-67.626807058147179</c:v>
                </c:pt>
                <c:pt idx="54" formatCode="0.0">
                  <c:v>-70.948472628894308</c:v>
                </c:pt>
                <c:pt idx="55" formatCode="0.0">
                  <c:v>-76.250623411131627</c:v>
                </c:pt>
                <c:pt idx="56" formatCode="0.0">
                  <c:v>-74.081138579650585</c:v>
                </c:pt>
                <c:pt idx="57" formatCode="0.0">
                  <c:v>-74.293813887540622</c:v>
                </c:pt>
                <c:pt idx="58" formatCode="0.0">
                  <c:v>-73.590712253861653</c:v>
                </c:pt>
                <c:pt idx="59" formatCode="0.0">
                  <c:v>-71.823546131746696</c:v>
                </c:pt>
                <c:pt idx="60" formatCode="0.0">
                  <c:v>-69.775201547129655</c:v>
                </c:pt>
                <c:pt idx="61" formatCode="0.0">
                  <c:v>-67.713945367946124</c:v>
                </c:pt>
                <c:pt idx="62" formatCode="0.0">
                  <c:v>-66.2</c:v>
                </c:pt>
                <c:pt idx="63" formatCode="###0.0">
                  <c:v>-77.566000852644706</c:v>
                </c:pt>
                <c:pt idx="64" formatCode="###0.0">
                  <c:v>-70.106316668884418</c:v>
                </c:pt>
                <c:pt idx="65" formatCode="###0.0">
                  <c:v>-79.136204837487099</c:v>
                </c:pt>
              </c:numCache>
            </c:numRef>
          </c:val>
        </c:ser>
        <c:ser>
          <c:idx val="1"/>
          <c:order val="1"/>
          <c:tx>
            <c:strRef>
              <c:f>'tableau note fr'!$A$14</c:f>
              <c:strCache>
                <c:ptCount val="1"/>
                <c:pt idx="0">
                  <c:v>Evolution  passée des prix des produits alimentaires</c:v>
                </c:pt>
              </c:strCache>
            </c:strRef>
          </c:tx>
          <c:cat>
            <c:strRef>
              <c:f>'tableau note fr'!$B$3:$BO$3</c:f>
              <c:strCache>
                <c:ptCount val="66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  <c:pt idx="61">
                  <c:v>T2/23</c:v>
                </c:pt>
                <c:pt idx="62">
                  <c:v>T3/23</c:v>
                </c:pt>
                <c:pt idx="63">
                  <c:v>T4/23</c:v>
                </c:pt>
                <c:pt idx="64">
                  <c:v>T1/24</c:v>
                </c:pt>
                <c:pt idx="65">
                  <c:v>T2/24</c:v>
                </c:pt>
              </c:strCache>
            </c:strRef>
          </c:cat>
          <c:val>
            <c:numRef>
              <c:f>'tableau note fr'!$B$14:$BO$14</c:f>
              <c:numCache>
                <c:formatCode>#,##0.0</c:formatCode>
                <c:ptCount val="66"/>
                <c:pt idx="0">
                  <c:v>-93.561530615416999</c:v>
                </c:pt>
                <c:pt idx="1">
                  <c:v>-95.947220816722407</c:v>
                </c:pt>
                <c:pt idx="2">
                  <c:v>-98.048475442965014</c:v>
                </c:pt>
                <c:pt idx="3">
                  <c:v>-96.216541508823312</c:v>
                </c:pt>
                <c:pt idx="4">
                  <c:v>-93.990402062896209</c:v>
                </c:pt>
                <c:pt idx="5">
                  <c:v>-87.215803326852651</c:v>
                </c:pt>
                <c:pt idx="6">
                  <c:v>-85.738329527783449</c:v>
                </c:pt>
                <c:pt idx="7">
                  <c:v>-83.278098478101384</c:v>
                </c:pt>
                <c:pt idx="8">
                  <c:v>-79.493520436579956</c:v>
                </c:pt>
                <c:pt idx="9">
                  <c:v>-87.814557184919167</c:v>
                </c:pt>
                <c:pt idx="10">
                  <c:v>-89.729007404339953</c:v>
                </c:pt>
                <c:pt idx="11">
                  <c:v>-90.967802162493456</c:v>
                </c:pt>
                <c:pt idx="12">
                  <c:v>-95.526783459398686</c:v>
                </c:pt>
                <c:pt idx="13">
                  <c:v>-87.197236284295727</c:v>
                </c:pt>
                <c:pt idx="14">
                  <c:v>-89.924388392525955</c:v>
                </c:pt>
                <c:pt idx="15">
                  <c:v>-92.495216554147817</c:v>
                </c:pt>
                <c:pt idx="16">
                  <c:v>-91.625316584481681</c:v>
                </c:pt>
                <c:pt idx="17">
                  <c:v>-91.140544889708991</c:v>
                </c:pt>
                <c:pt idx="18">
                  <c:v>-91.653648288633619</c:v>
                </c:pt>
                <c:pt idx="19">
                  <c:v>-90.602273539903038</c:v>
                </c:pt>
                <c:pt idx="20">
                  <c:v>-91.630328830979565</c:v>
                </c:pt>
                <c:pt idx="21">
                  <c:v>-88.947630714849396</c:v>
                </c:pt>
                <c:pt idx="22">
                  <c:v>-90.507981291878522</c:v>
                </c:pt>
                <c:pt idx="23">
                  <c:v>-90.842402571703019</c:v>
                </c:pt>
                <c:pt idx="24">
                  <c:v>-89.421972084851788</c:v>
                </c:pt>
                <c:pt idx="25">
                  <c:v>-84.135715875788975</c:v>
                </c:pt>
                <c:pt idx="26">
                  <c:v>-81.763249669623818</c:v>
                </c:pt>
                <c:pt idx="27">
                  <c:v>-84.521199779532196</c:v>
                </c:pt>
                <c:pt idx="28">
                  <c:v>-87.223881643150108</c:v>
                </c:pt>
                <c:pt idx="29">
                  <c:v>-85.304961002513068</c:v>
                </c:pt>
                <c:pt idx="30">
                  <c:v>-84.284507159523685</c:v>
                </c:pt>
                <c:pt idx="31">
                  <c:v>-85.427496568127424</c:v>
                </c:pt>
                <c:pt idx="32">
                  <c:v>-85.452277394276848</c:v>
                </c:pt>
                <c:pt idx="33">
                  <c:v>-87.871778057968044</c:v>
                </c:pt>
                <c:pt idx="34">
                  <c:v>-87.672521775530839</c:v>
                </c:pt>
                <c:pt idx="35">
                  <c:v>-87.308587775463266</c:v>
                </c:pt>
                <c:pt idx="36">
                  <c:v>-86.771015006658288</c:v>
                </c:pt>
                <c:pt idx="37">
                  <c:v>-86.4</c:v>
                </c:pt>
                <c:pt idx="38">
                  <c:v>-82.805018292489322</c:v>
                </c:pt>
                <c:pt idx="39">
                  <c:v>-88.513579156072012</c:v>
                </c:pt>
                <c:pt idx="40">
                  <c:v>-86.694812387811382</c:v>
                </c:pt>
                <c:pt idx="41" formatCode="0.0">
                  <c:v>-88.182833745436596</c:v>
                </c:pt>
                <c:pt idx="42">
                  <c:v>-88.119908444008828</c:v>
                </c:pt>
                <c:pt idx="43">
                  <c:v>-90.3</c:v>
                </c:pt>
                <c:pt idx="44">
                  <c:v>-88.136419421127727</c:v>
                </c:pt>
                <c:pt idx="45">
                  <c:v>-88.912542109472369</c:v>
                </c:pt>
                <c:pt idx="46">
                  <c:v>-83.748311328811582</c:v>
                </c:pt>
                <c:pt idx="47">
                  <c:v>-85.084964738360227</c:v>
                </c:pt>
                <c:pt idx="48">
                  <c:v>-82.774085672956858</c:v>
                </c:pt>
                <c:pt idx="49" formatCode="0.0">
                  <c:v>-67.616999612935103</c:v>
                </c:pt>
                <c:pt idx="50">
                  <c:v>-75.123128911649388</c:v>
                </c:pt>
                <c:pt idx="51" formatCode="0.0">
                  <c:v>-74.676635648394679</c:v>
                </c:pt>
                <c:pt idx="52" formatCode="0.0">
                  <c:v>-74</c:v>
                </c:pt>
                <c:pt idx="53" formatCode="0.0">
                  <c:v>-86.830108784480615</c:v>
                </c:pt>
                <c:pt idx="54" formatCode="0.0">
                  <c:v>-86.892269253653168</c:v>
                </c:pt>
                <c:pt idx="55" formatCode="0.0">
                  <c:v>-95.946419387502388</c:v>
                </c:pt>
                <c:pt idx="56" formatCode="0.0">
                  <c:v>-97.899492867529375</c:v>
                </c:pt>
                <c:pt idx="57" formatCode="0.0">
                  <c:v>-99.090827572349781</c:v>
                </c:pt>
                <c:pt idx="58" formatCode="0.0">
                  <c:v>-99.053454059204242</c:v>
                </c:pt>
                <c:pt idx="59" formatCode="0.0">
                  <c:v>-98.761441528769112</c:v>
                </c:pt>
                <c:pt idx="60" formatCode="0.0">
                  <c:v>-98.724700288378301</c:v>
                </c:pt>
                <c:pt idx="61" formatCode="0.0">
                  <c:v>-97.999403296955293</c:v>
                </c:pt>
                <c:pt idx="62" formatCode="0.0">
                  <c:v>-97.878392580040284</c:v>
                </c:pt>
                <c:pt idx="63" formatCode="###0.0">
                  <c:v>-97.443679394696687</c:v>
                </c:pt>
                <c:pt idx="64" formatCode="###0.0">
                  <c:v>-96.499726659589314</c:v>
                </c:pt>
                <c:pt idx="65" formatCode="###0.0">
                  <c:v>-96.014071274399114</c:v>
                </c:pt>
              </c:numCache>
            </c:numRef>
          </c:val>
        </c:ser>
        <c:marker val="1"/>
        <c:axId val="118477184"/>
        <c:axId val="118478720"/>
      </c:lineChart>
      <c:catAx>
        <c:axId val="118477184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18478720"/>
        <c:crosses val="autoZero"/>
        <c:auto val="1"/>
        <c:lblAlgn val="ctr"/>
        <c:lblOffset val="100"/>
      </c:catAx>
      <c:valAx>
        <c:axId val="118478720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1847718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"/>
          <c:y val="0.86913098102098152"/>
          <c:w val="0.96826425010643924"/>
          <c:h val="0.11156007640462422"/>
        </c:manualLayout>
      </c:layout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665DF-5E47-4204-B638-C88D93E10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1603</Words>
  <Characters>8818</Characters>
  <Application>Microsoft Office Word</Application>
  <DocSecurity>0</DocSecurity>
  <Lines>73</Lines>
  <Paragraphs>20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10401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http://www.hcp.ma/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HCP</cp:lastModifiedBy>
  <cp:revision>12</cp:revision>
  <cp:lastPrinted>2024-07-09T16:13:00Z</cp:lastPrinted>
  <dcterms:created xsi:type="dcterms:W3CDTF">2024-07-14T17:49:00Z</dcterms:created>
  <dcterms:modified xsi:type="dcterms:W3CDTF">2024-07-16T08:31:00Z</dcterms:modified>
</cp:coreProperties>
</file>