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AEF" w:rsidRDefault="000F1AEF" w:rsidP="00EF6AB2">
      <w:pPr>
        <w:spacing w:line="360" w:lineRule="auto"/>
        <w:jc w:val="both"/>
        <w:rPr>
          <w:rFonts w:asciiTheme="majorBidi" w:hAnsiTheme="majorBidi" w:cstheme="majorBidi"/>
          <w:b/>
          <w:bCs/>
          <w:color w:val="943634" w:themeColor="accent2" w:themeShade="BF"/>
          <w:sz w:val="26"/>
          <w:szCs w:val="26"/>
          <w:rtl/>
          <w:lang w:bidi="ar-MA"/>
        </w:rPr>
      </w:pPr>
    </w:p>
    <w:p w:rsidR="00D9528F" w:rsidRPr="00536E6D" w:rsidRDefault="00D9528F" w:rsidP="00EF6AB2">
      <w:pPr>
        <w:spacing w:line="360" w:lineRule="auto"/>
        <w:jc w:val="both"/>
        <w:rPr>
          <w:rFonts w:asciiTheme="majorBidi" w:hAnsiTheme="majorBidi" w:cstheme="majorBidi"/>
          <w:b/>
          <w:bCs/>
          <w:color w:val="943634" w:themeColor="accent2" w:themeShade="BF"/>
          <w:sz w:val="26"/>
          <w:szCs w:val="26"/>
          <w:rtl/>
          <w:lang w:bidi="ar-MA"/>
        </w:rPr>
      </w:pPr>
    </w:p>
    <w:p w:rsidR="0047396E" w:rsidRPr="00536E6D" w:rsidRDefault="0047396E" w:rsidP="00EF6AB2">
      <w:pPr>
        <w:bidi/>
        <w:spacing w:line="360" w:lineRule="auto"/>
        <w:jc w:val="center"/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</w:pP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مذكرة إخبارية للمندوبية السامية للتخطيط</w:t>
      </w:r>
    </w:p>
    <w:p w:rsidR="00601E92" w:rsidRPr="00536E6D" w:rsidRDefault="0047396E" w:rsidP="00EF6AB2">
      <w:pPr>
        <w:bidi/>
        <w:spacing w:after="240" w:line="360" w:lineRule="auto"/>
        <w:jc w:val="center"/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</w:pP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نتائج بحث الظرفية لدى</w:t>
      </w:r>
      <w:r w:rsidR="00472129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lang w:bidi="ar-MA"/>
        </w:rPr>
        <w:t xml:space="preserve"> </w:t>
      </w: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الأسر</w:t>
      </w:r>
    </w:p>
    <w:p w:rsidR="0047396E" w:rsidRPr="00536E6D" w:rsidRDefault="00601E92" w:rsidP="00EF6AB2">
      <w:pPr>
        <w:bidi/>
        <w:spacing w:after="240" w:line="360" w:lineRule="auto"/>
        <w:jc w:val="center"/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</w:rPr>
      </w:pPr>
      <w:r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DZ"/>
        </w:rPr>
        <w:t>ا</w:t>
      </w:r>
      <w:r w:rsidR="00E306A8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DZ"/>
        </w:rPr>
        <w:t xml:space="preserve">لفصل </w:t>
      </w:r>
      <w:r w:rsidR="00C53D3F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DZ"/>
        </w:rPr>
        <w:t>الثاني</w:t>
      </w:r>
      <w:r w:rsidR="00E306A8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DZ"/>
        </w:rPr>
        <w:t xml:space="preserve"> من </w:t>
      </w:r>
      <w:r w:rsidR="0047396E" w:rsidRPr="00536E6D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 xml:space="preserve">سنة </w:t>
      </w:r>
      <w:r w:rsidR="0045337F">
        <w:rPr>
          <w:rFonts w:asciiTheme="majorBidi" w:hAnsiTheme="majorBidi" w:cstheme="majorBidi"/>
          <w:b/>
          <w:bCs/>
          <w:color w:val="943634" w:themeColor="accent2" w:themeShade="BF"/>
          <w:sz w:val="32"/>
          <w:szCs w:val="32"/>
          <w:rtl/>
          <w:lang w:bidi="ar-MA"/>
        </w:rPr>
        <w:t>2024</w:t>
      </w:r>
    </w:p>
    <w:p w:rsidR="0047396E" w:rsidRPr="00536E6D" w:rsidRDefault="0047396E" w:rsidP="00EF6AB2">
      <w:pPr>
        <w:bidi/>
        <w:spacing w:after="240" w:line="360" w:lineRule="auto"/>
        <w:jc w:val="center"/>
        <w:rPr>
          <w:rFonts w:asciiTheme="majorBidi" w:hAnsiTheme="majorBidi" w:cstheme="majorBidi"/>
          <w:sz w:val="26"/>
          <w:szCs w:val="26"/>
          <w:rtl/>
          <w:lang w:bidi="ar-MA"/>
        </w:rPr>
      </w:pPr>
    </w:p>
    <w:p w:rsidR="00FE3C87" w:rsidRPr="00472129" w:rsidRDefault="00FE3C87" w:rsidP="00EF6AB2">
      <w:pPr>
        <w:bidi/>
        <w:spacing w:before="240"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</w:pPr>
      <w:r w:rsidRPr="00472129">
        <w:rPr>
          <w:rFonts w:asciiTheme="majorBidi" w:hAnsiTheme="majorBidi" w:cstheme="majorBidi"/>
          <w:bCs/>
          <w:sz w:val="26"/>
          <w:szCs w:val="26"/>
          <w:rtl/>
          <w:lang w:bidi="ar-MA"/>
        </w:rPr>
        <w:t>يتضح</w:t>
      </w:r>
      <w:r w:rsidRPr="00472129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من نتائج البحث الدائم حول الظرفية لدى الأسر</w:t>
      </w:r>
      <w:r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، المنجز من طرف</w:t>
      </w:r>
      <w:r w:rsidR="00EC0141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المندوبية السامية للتخطيط، أن مؤشر ثقة الأسر </w:t>
      </w:r>
      <w:r w:rsidR="00EC0141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سجل</w:t>
      </w:r>
      <w:r w:rsidR="00FC64EF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،</w:t>
      </w:r>
      <w:r w:rsidR="00EC0141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خلال الفصل الثاني من سنة 2024</w:t>
      </w:r>
      <w:r w:rsidR="00472129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، </w:t>
      </w:r>
      <w:r w:rsidR="00EC0141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تحسنا</w:t>
      </w:r>
      <w:r w:rsidR="00472129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نسبيا</w:t>
      </w:r>
      <w:r w:rsidR="00472129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="00EC0141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بالمقارنة مع الفصل السابق أو مع نفس الفصل من </w:t>
      </w:r>
      <w:r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سنة</w:t>
      </w:r>
      <w:r w:rsidR="00EC0141"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="0045337F" w:rsidRPr="00472129">
        <w:rPr>
          <w:rFonts w:asciiTheme="majorBidi" w:hAnsiTheme="majorBidi" w:cstheme="majorBidi"/>
          <w:b/>
          <w:bCs/>
          <w:sz w:val="26"/>
          <w:szCs w:val="26"/>
          <w:lang w:bidi="ar-MA"/>
        </w:rPr>
        <w:t>2023</w:t>
      </w:r>
      <w:r w:rsidRPr="0047212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. </w:t>
      </w:r>
    </w:p>
    <w:p w:rsidR="0047396E" w:rsidRPr="0098386B" w:rsidRDefault="00DC7971" w:rsidP="00EF6AB2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98386B">
        <w:rPr>
          <w:rFonts w:asciiTheme="majorBidi" w:hAnsiTheme="majorBidi" w:cstheme="majorBidi" w:hint="cs"/>
          <w:sz w:val="26"/>
          <w:szCs w:val="26"/>
          <w:rtl/>
          <w:lang w:bidi="ar-MA"/>
        </w:rPr>
        <w:t>و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هكذا 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استقر </w:t>
      </w:r>
      <w:r w:rsidR="0047396E" w:rsidRPr="0078250A">
        <w:rPr>
          <w:rFonts w:asciiTheme="majorBidi" w:hAnsiTheme="majorBidi" w:cstheme="majorBidi"/>
          <w:sz w:val="26"/>
          <w:szCs w:val="26"/>
          <w:rtl/>
          <w:lang w:bidi="ar-MA"/>
        </w:rPr>
        <w:t>مؤشر ثقة الأسر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في </w:t>
      </w:r>
      <w:r w:rsidR="00EC378D" w:rsidRPr="0098386B">
        <w:rPr>
          <w:rFonts w:asciiTheme="majorBidi" w:hAnsiTheme="majorBidi" w:cstheme="majorBidi"/>
          <w:sz w:val="26"/>
          <w:szCs w:val="26"/>
          <w:lang w:bidi="ar-MA"/>
        </w:rPr>
        <w:t>46,1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78250A">
        <w:rPr>
          <w:rFonts w:asciiTheme="majorBidi" w:hAnsiTheme="majorBidi" w:cstheme="majorBidi"/>
          <w:sz w:val="26"/>
          <w:szCs w:val="26"/>
          <w:rtl/>
          <w:lang w:bidi="ar-MA"/>
        </w:rPr>
        <w:t>نقطة عوض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C378D" w:rsidRPr="0098386B">
        <w:rPr>
          <w:rFonts w:asciiTheme="majorBidi" w:hAnsiTheme="majorBidi" w:cstheme="majorBidi"/>
          <w:sz w:val="26"/>
          <w:szCs w:val="26"/>
          <w:lang w:bidi="ar-MA"/>
        </w:rPr>
        <w:t>45,3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78250A">
        <w:rPr>
          <w:rFonts w:asciiTheme="majorBidi" w:hAnsiTheme="majorBidi" w:cstheme="majorBidi"/>
          <w:sz w:val="26"/>
          <w:szCs w:val="26"/>
          <w:rtl/>
          <w:lang w:bidi="ar-MA"/>
        </w:rPr>
        <w:t>نقطة المسجلة خلال الفصل السابق و</w:t>
      </w:r>
      <w:r w:rsidR="00EC378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45,4 </w:t>
      </w:r>
      <w:r w:rsidR="0047396E" w:rsidRPr="0098386B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المسجلة </w:t>
      </w:r>
      <w:r w:rsidRPr="0078250A">
        <w:rPr>
          <w:rFonts w:asciiTheme="majorBidi" w:hAnsiTheme="majorBidi" w:cstheme="majorBidi"/>
          <w:sz w:val="26"/>
          <w:szCs w:val="26"/>
          <w:rtl/>
          <w:lang w:bidi="ar-MA"/>
        </w:rPr>
        <w:t>خلال</w:t>
      </w:r>
      <w:r w:rsidR="0014738D" w:rsidRPr="0098386B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الفصل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C53D3F" w:rsidRPr="0098386B">
        <w:rPr>
          <w:rFonts w:asciiTheme="majorBidi" w:hAnsiTheme="majorBidi" w:cstheme="majorBidi"/>
          <w:sz w:val="26"/>
          <w:szCs w:val="26"/>
          <w:rtl/>
          <w:lang w:bidi="ar-MA"/>
        </w:rPr>
        <w:t>الثاني</w:t>
      </w:r>
      <w:r w:rsidR="0047396E" w:rsidRPr="0098386B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السنة الماضية</w:t>
      </w:r>
      <w:r w:rsidR="0047396E" w:rsidRPr="0098386B">
        <w:rPr>
          <w:rFonts w:asciiTheme="majorBidi" w:hAnsiTheme="majorBidi" w:cstheme="majorBidi"/>
          <w:sz w:val="26"/>
          <w:szCs w:val="26"/>
          <w:lang w:bidi="ar-MA"/>
        </w:rPr>
        <w:t>.</w:t>
      </w:r>
    </w:p>
    <w:p w:rsidR="00F52142" w:rsidRDefault="00536E6D" w:rsidP="00EF6AB2">
      <w:pPr>
        <w:bidi/>
        <w:spacing w:before="240" w:line="360" w:lineRule="auto"/>
        <w:ind w:hanging="1"/>
        <w:jc w:val="both"/>
        <w:rPr>
          <w:rFonts w:asciiTheme="majorBidi" w:hAnsiTheme="majorBidi" w:cstheme="majorBidi"/>
          <w:b/>
          <w:bCs/>
          <w:sz w:val="26"/>
          <w:szCs w:val="26"/>
          <w:rtl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1: </w:t>
      </w:r>
      <w:r w:rsidR="00A52632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تطور مؤشر </w:t>
      </w:r>
      <w:r w:rsidRPr="00536E6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ثقة </w:t>
      </w:r>
      <w:r w:rsidR="00A52632">
        <w:rPr>
          <w:rFonts w:asciiTheme="majorBidi" w:hAnsiTheme="majorBidi" w:cstheme="majorBidi" w:hint="cs"/>
          <w:b/>
          <w:bCs/>
          <w:sz w:val="26"/>
          <w:szCs w:val="26"/>
          <w:rtl/>
        </w:rPr>
        <w:t>ا</w:t>
      </w:r>
      <w:r w:rsidRPr="00536E6D">
        <w:rPr>
          <w:rFonts w:asciiTheme="majorBidi" w:hAnsiTheme="majorBidi" w:cstheme="majorBidi"/>
          <w:b/>
          <w:bCs/>
          <w:sz w:val="26"/>
          <w:szCs w:val="26"/>
          <w:rtl/>
        </w:rPr>
        <w:t>لأسر</w:t>
      </w:r>
    </w:p>
    <w:p w:rsidR="0045337F" w:rsidRDefault="0045337F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</w:p>
    <w:p w:rsidR="0045337F" w:rsidRDefault="0045337F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>
        <w:rPr>
          <w:noProof/>
        </w:rPr>
        <w:drawing>
          <wp:inline distT="0" distB="0" distL="0" distR="0">
            <wp:extent cx="6518910" cy="4248150"/>
            <wp:effectExtent l="19050" t="0" r="15240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36A3E" w:rsidRPr="00AC77D8" w:rsidRDefault="00036A3E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="00EC0141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="00EC0141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="00EC0141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p w:rsidR="0047396E" w:rsidRPr="0078250A" w:rsidRDefault="002041DE" w:rsidP="00EF6AB2">
      <w:pPr>
        <w:pStyle w:val="Paragraphedeliste"/>
        <w:widowControl/>
        <w:numPr>
          <w:ilvl w:val="0"/>
          <w:numId w:val="2"/>
        </w:numPr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lastRenderedPageBreak/>
        <w:t>تطور مكونات مؤشر ال</w:t>
      </w:r>
      <w:r w:rsidR="0047396E"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ثقة</w:t>
      </w:r>
    </w:p>
    <w:p w:rsidR="000B4187" w:rsidRPr="00536E6D" w:rsidRDefault="0047396E" w:rsidP="00EF6AB2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تهم مكونات </w:t>
      </w:r>
      <w:r w:rsidR="0078250A" w:rsidRPr="0078250A">
        <w:rPr>
          <w:rFonts w:asciiTheme="majorBidi" w:hAnsiTheme="majorBidi" w:cstheme="majorBidi"/>
          <w:sz w:val="26"/>
          <w:szCs w:val="26"/>
          <w:rtl/>
          <w:lang w:bidi="ar-MA"/>
        </w:rPr>
        <w:t>مؤشر الثقة</w:t>
      </w:r>
      <w:r w:rsidR="00FC64EF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آراء الأسر حول تطور مستوى المعيشة </w:t>
      </w:r>
      <w:r w:rsidR="0014738D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والبطالة وفرص</w:t>
      </w:r>
      <w:r w:rsidR="00DF74BA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اقتناء السلع المستدامة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وكذا </w:t>
      </w:r>
      <w:r w:rsidR="00DF74BA" w:rsidRPr="00536E6D">
        <w:rPr>
          <w:rFonts w:asciiTheme="majorBidi" w:hAnsiTheme="majorBidi" w:cstheme="majorBidi"/>
          <w:sz w:val="26"/>
          <w:szCs w:val="26"/>
          <w:rtl/>
          <w:lang w:bidi="ar-MA"/>
        </w:rPr>
        <w:t>تطور وضعيتهم المالية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. </w:t>
      </w:r>
    </w:p>
    <w:p w:rsidR="00FC64EF" w:rsidRPr="0078250A" w:rsidRDefault="00D4013D" w:rsidP="00EF6AB2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إحساس </w:t>
      </w:r>
      <w:r w:rsidRPr="0058322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الأسر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="00FC64EF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بتحسن </w:t>
      </w:r>
      <w:r w:rsidR="00FC64EF" w:rsidRPr="0078250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مستوى </w:t>
      </w:r>
      <w:r w:rsidR="00FC64EF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ال</w:t>
      </w:r>
      <w:r w:rsidR="00FC64EF" w:rsidRPr="0078250A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معيشة</w:t>
      </w:r>
      <w:r w:rsidR="00FC64EF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 </w:t>
      </w:r>
    </w:p>
    <w:p w:rsidR="005E7265" w:rsidRPr="00536E6D" w:rsidRDefault="00727EE4" w:rsidP="00EF6AB2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الفصل </w:t>
      </w:r>
      <w:r w:rsidR="00C53D3F">
        <w:rPr>
          <w:rFonts w:asciiTheme="majorBidi" w:hAnsiTheme="majorBidi" w:cstheme="majorBidi"/>
          <w:sz w:val="26"/>
          <w:szCs w:val="26"/>
          <w:rtl/>
          <w:lang w:bidi="ar-MA"/>
        </w:rPr>
        <w:t>الثاني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سنة </w:t>
      </w:r>
      <w:r w:rsidR="0045337F">
        <w:rPr>
          <w:rFonts w:asciiTheme="majorBidi" w:hAnsiTheme="majorBidi" w:cstheme="majorBidi"/>
          <w:sz w:val="26"/>
          <w:szCs w:val="26"/>
          <w:rtl/>
          <w:lang w:bidi="ar-MA"/>
        </w:rPr>
        <w:t>2024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 بلغ معدل الأسر التي صرحت بتدهور مستوى المعيشة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 12 شهرا السابقة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C0141" w:rsidRPr="003028BE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82,</w:t>
      </w:r>
      <w:r w:rsidR="0064755C" w:rsidRPr="0098386B">
        <w:rPr>
          <w:rFonts w:asciiTheme="majorBidi" w:hAnsiTheme="majorBidi" w:cstheme="majorBidi"/>
          <w:sz w:val="26"/>
          <w:szCs w:val="26"/>
          <w:lang w:bidi="ar-MA"/>
        </w:rPr>
        <w:t>6</w:t>
      </w:r>
      <w:r w:rsidR="00EF75DF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فيما اعتبرت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C0141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13,</w:t>
      </w:r>
      <w:r w:rsidR="0064755C" w:rsidRPr="0098386B">
        <w:rPr>
          <w:rFonts w:asciiTheme="majorBidi" w:hAnsiTheme="majorBidi" w:cstheme="majorBidi"/>
          <w:sz w:val="26"/>
          <w:szCs w:val="26"/>
          <w:lang w:bidi="ar-MA"/>
        </w:rPr>
        <w:t>0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منها استقراره و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4,4</w:t>
      </w:r>
      <w:r w:rsidR="000B4187" w:rsidRPr="00536E6D">
        <w:rPr>
          <w:rFonts w:asciiTheme="majorBidi" w:hAnsiTheme="majorBidi" w:cstheme="majorBidi"/>
          <w:sz w:val="26"/>
          <w:szCs w:val="26"/>
          <w:rtl/>
          <w:lang w:bidi="ar-MA"/>
        </w:rPr>
        <w:t>%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64755C">
        <w:rPr>
          <w:rFonts w:asciiTheme="majorBidi" w:hAnsiTheme="majorBidi" w:cstheme="majorBidi"/>
          <w:sz w:val="26"/>
          <w:szCs w:val="26"/>
          <w:rtl/>
          <w:lang w:bidi="ar-MA"/>
        </w:rPr>
        <w:t>تحسنه</w:t>
      </w:r>
      <w:r w:rsidR="0064755C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. وهكذا استقر رصيد هذا المؤشر في مستوى سلبي بلغ </w:t>
      </w:r>
      <w:r w:rsidR="008E764B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47396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اقص </w:t>
      </w:r>
      <w:r w:rsidR="0002108D" w:rsidRPr="0098386B">
        <w:rPr>
          <w:rFonts w:asciiTheme="majorBidi" w:hAnsiTheme="majorBidi" w:cstheme="majorBidi"/>
          <w:sz w:val="26"/>
          <w:szCs w:val="26"/>
          <w:lang w:bidi="ar-MA"/>
        </w:rPr>
        <w:t>78,2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CB676D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CB676D">
        <w:rPr>
          <w:rFonts w:asciiTheme="majorBidi" w:hAnsiTheme="majorBidi" w:cstheme="majorBidi" w:hint="cs"/>
          <w:sz w:val="26"/>
          <w:szCs w:val="26"/>
          <w:rtl/>
          <w:lang w:bidi="ar-MA"/>
        </w:rPr>
        <w:t>،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CB676D">
        <w:rPr>
          <w:rFonts w:asciiTheme="majorBidi" w:hAnsiTheme="majorBidi" w:cstheme="majorBidi" w:hint="cs"/>
          <w:sz w:val="26"/>
          <w:szCs w:val="26"/>
          <w:rtl/>
          <w:lang w:bidi="ar-MA"/>
        </w:rPr>
        <w:t>مقابل</w:t>
      </w:r>
      <w:r w:rsidR="00CB676D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ناقص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02108D" w:rsidRPr="0098386B">
        <w:rPr>
          <w:rFonts w:asciiTheme="majorBidi" w:hAnsiTheme="majorBidi" w:cstheme="majorBidi"/>
          <w:sz w:val="26"/>
          <w:szCs w:val="26"/>
          <w:lang w:bidi="ar-MA"/>
        </w:rPr>
        <w:t>78,1</w:t>
      </w:r>
      <w:r w:rsidR="00CB676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ن</w:t>
      </w:r>
      <w:r w:rsidR="00CB676D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خلال الفصل السابق </w:t>
      </w:r>
      <w:r w:rsidR="00CB676D">
        <w:rPr>
          <w:rFonts w:asciiTheme="majorBidi" w:hAnsiTheme="majorBidi" w:cstheme="majorBidi" w:hint="cs"/>
          <w:sz w:val="26"/>
          <w:szCs w:val="26"/>
          <w:rtl/>
          <w:lang w:bidi="ar-MA"/>
        </w:rPr>
        <w:t>و</w:t>
      </w:r>
      <w:r w:rsidR="00CB676D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C378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84,6 </w:t>
      </w:r>
      <w:r w:rsidR="00CB676D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 خلال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CB676D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نفس الفصل من السنة الماضية.</w:t>
      </w:r>
    </w:p>
    <w:p w:rsidR="005E7265" w:rsidRPr="00536E6D" w:rsidRDefault="0047396E" w:rsidP="00EF6AB2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أما بخصوص تطور مستوى المعيشة خلال 12 شهرا المقبلة، </w:t>
      </w:r>
      <w:r w:rsidR="003028BE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فتتوقع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55,1</w:t>
      </w:r>
      <w:r w:rsidR="000B4187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%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الأسر تدهوره و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C0141" w:rsidRPr="00AA25A7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35,9</w:t>
      </w:r>
      <w:r w:rsidR="00EC0141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استقراره في حين 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9</w:t>
      </w:r>
      <w:r w:rsidR="000B4187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91171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ترجح تحسنه. </w:t>
      </w:r>
      <w:r w:rsidR="00D77F02">
        <w:rPr>
          <w:rFonts w:asciiTheme="majorBidi" w:hAnsiTheme="majorBidi" w:cstheme="majorBidi" w:hint="cs"/>
          <w:sz w:val="26"/>
          <w:szCs w:val="26"/>
          <w:rtl/>
          <w:lang w:bidi="ar-MA"/>
        </w:rPr>
        <w:t>وهكذا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استقر </w:t>
      </w:r>
      <w:r w:rsidR="00D77F02" w:rsidRPr="003459C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رصيد هذا المؤشر 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>في مستوى سلبي بلغ ناقص</w:t>
      </w:r>
      <w:r w:rsidR="00D77F02" w:rsidRPr="0098386B">
        <w:rPr>
          <w:rFonts w:asciiTheme="majorBidi" w:hAnsiTheme="majorBidi" w:cstheme="majorBidi"/>
          <w:sz w:val="26"/>
          <w:szCs w:val="26"/>
          <w:lang w:bidi="ar-MA"/>
        </w:rPr>
        <w:t>46,1</w:t>
      </w:r>
      <w:r w:rsidR="00D77F0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ن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</w:t>
      </w:r>
      <w:r w:rsidR="00D77F02">
        <w:rPr>
          <w:rFonts w:asciiTheme="majorBidi" w:hAnsiTheme="majorBidi" w:cstheme="majorBidi" w:hint="cs"/>
          <w:sz w:val="26"/>
          <w:szCs w:val="26"/>
          <w:rtl/>
          <w:lang w:bidi="ar-MA"/>
        </w:rPr>
        <w:t>مقابل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ناقص</w:t>
      </w:r>
      <w:r w:rsidR="0091171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77F02" w:rsidRPr="0098386B">
        <w:rPr>
          <w:rFonts w:asciiTheme="majorBidi" w:hAnsiTheme="majorBidi" w:cstheme="majorBidi"/>
          <w:sz w:val="26"/>
          <w:szCs w:val="26"/>
          <w:lang w:bidi="ar-MA"/>
        </w:rPr>
        <w:t>47,3</w:t>
      </w:r>
      <w:r w:rsidR="0091171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77F02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خلال الفصل السابق </w:t>
      </w:r>
      <w:r w:rsidR="00D77F02">
        <w:rPr>
          <w:rFonts w:asciiTheme="majorBidi" w:hAnsiTheme="majorBidi" w:cstheme="majorBidi" w:hint="cs"/>
          <w:sz w:val="26"/>
          <w:szCs w:val="26"/>
          <w:rtl/>
          <w:lang w:bidi="ar-MA"/>
        </w:rPr>
        <w:t>و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D77F0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4</w:t>
      </w:r>
      <w:r w:rsidR="00D77F02" w:rsidRPr="0098386B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3,7 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نقطة خلال</w:t>
      </w:r>
      <w:r w:rsidR="0091171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77F02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نفس الفصل من السنة الماضية.</w:t>
      </w:r>
    </w:p>
    <w:p w:rsidR="00E83614" w:rsidRDefault="00E83614" w:rsidP="00EF6AB2">
      <w:pPr>
        <w:bidi/>
        <w:spacing w:before="240"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2: </w:t>
      </w:r>
      <w:r w:rsidRPr="00E83614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تصور الأسر للتطور السابق </w:t>
      </w:r>
      <w:r w:rsidR="0014738D" w:rsidRPr="00E83614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والمستقبلي للمستوى</w:t>
      </w:r>
      <w:r w:rsidRPr="00E83614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العام للمعيشة(أرصدة الآراء)</w:t>
      </w:r>
    </w:p>
    <w:p w:rsidR="003D3E83" w:rsidRPr="003D3E83" w:rsidRDefault="0045337F" w:rsidP="00EF6AB2">
      <w:pPr>
        <w:bidi/>
        <w:spacing w:before="240"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noProof/>
        </w:rPr>
        <w:drawing>
          <wp:inline distT="0" distB="0" distL="0" distR="0">
            <wp:extent cx="6507480" cy="3238500"/>
            <wp:effectExtent l="19050" t="0" r="26670" b="0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C77D8" w:rsidRDefault="0091171D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المصدر: المندوبية السامية للتخطيط، البحث الوطني الدائم حول الظرفية لدى الأسر</w:t>
      </w:r>
    </w:p>
    <w:p w:rsidR="0091171D" w:rsidRDefault="0091171D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:rsidR="0047396E" w:rsidRPr="00D4013D" w:rsidRDefault="00FC64EF" w:rsidP="00EF6AB2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</w:pPr>
      <w:r w:rsidRPr="00606119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توقع بارتفاع </w:t>
      </w:r>
      <w:r w:rsidR="00D4013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معتدل ل</w:t>
      </w:r>
      <w:r w:rsidR="00D4013D"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مستوى البطالة</w:t>
      </w:r>
      <w:r w:rsidR="00D4013D" w:rsidRPr="00606119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 </w:t>
      </w:r>
    </w:p>
    <w:p w:rsidR="00114E58" w:rsidRDefault="00F04DA1" w:rsidP="00EF6AB2">
      <w:pPr>
        <w:widowControl/>
        <w:autoSpaceDE/>
        <w:autoSpaceDN/>
        <w:bidi/>
        <w:adjustRightInd/>
        <w:spacing w:line="360" w:lineRule="auto"/>
        <w:ind w:left="283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D4013D">
        <w:rPr>
          <w:rFonts w:asciiTheme="majorBidi" w:hAnsiTheme="majorBidi" w:cstheme="majorBidi"/>
          <w:sz w:val="28"/>
          <w:szCs w:val="28"/>
          <w:rtl/>
          <w:lang w:bidi="ar-MA"/>
        </w:rPr>
        <w:t xml:space="preserve">خلال الفصل </w:t>
      </w:r>
      <w:r w:rsidR="00C53D3F" w:rsidRPr="00D4013D">
        <w:rPr>
          <w:rFonts w:asciiTheme="majorBidi" w:hAnsiTheme="majorBidi" w:cstheme="majorBidi"/>
          <w:sz w:val="28"/>
          <w:szCs w:val="28"/>
          <w:rtl/>
          <w:lang w:bidi="ar-MA"/>
        </w:rPr>
        <w:t>الثاني</w:t>
      </w:r>
      <w:r w:rsidRPr="00D4013D">
        <w:rPr>
          <w:rFonts w:asciiTheme="majorBidi" w:hAnsiTheme="majorBidi" w:cstheme="majorBidi"/>
          <w:sz w:val="28"/>
          <w:szCs w:val="28"/>
          <w:rtl/>
          <w:lang w:bidi="ar-MA"/>
        </w:rPr>
        <w:t xml:space="preserve"> من سنة </w:t>
      </w:r>
      <w:r w:rsidR="0045337F" w:rsidRPr="00D4013D">
        <w:rPr>
          <w:rFonts w:asciiTheme="majorBidi" w:hAnsiTheme="majorBidi" w:cstheme="majorBidi"/>
          <w:sz w:val="28"/>
          <w:szCs w:val="28"/>
          <w:rtl/>
          <w:lang w:bidi="ar-MA"/>
        </w:rPr>
        <w:t>2024</w:t>
      </w:r>
      <w:r w:rsidR="0047396E" w:rsidRPr="00D4013D">
        <w:rPr>
          <w:rFonts w:asciiTheme="majorBidi" w:hAnsiTheme="majorBidi" w:cstheme="majorBidi"/>
          <w:sz w:val="28"/>
          <w:szCs w:val="28"/>
          <w:rtl/>
          <w:lang w:bidi="ar-MA"/>
        </w:rPr>
        <w:t>،</w:t>
      </w:r>
      <w:r w:rsidR="0047396E" w:rsidRPr="00D4013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توقعت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7735B" w:rsidRPr="00D4013D">
        <w:rPr>
          <w:rFonts w:asciiTheme="majorBidi" w:hAnsiTheme="majorBidi" w:cstheme="majorBidi"/>
          <w:sz w:val="26"/>
          <w:szCs w:val="26"/>
          <w:lang w:bidi="ar-MA"/>
        </w:rPr>
        <w:t>82,8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1171D" w:rsidRPr="00D4013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D4013D">
        <w:rPr>
          <w:rFonts w:asciiTheme="majorBidi" w:hAnsiTheme="majorBidi" w:cstheme="majorBidi"/>
          <w:sz w:val="26"/>
          <w:szCs w:val="26"/>
          <w:rtl/>
          <w:lang w:bidi="ar-MA"/>
        </w:rPr>
        <w:t>من الأسر مقابل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7735B" w:rsidRPr="00D4013D">
        <w:rPr>
          <w:rFonts w:asciiTheme="majorBidi" w:hAnsiTheme="majorBidi" w:cstheme="majorBidi"/>
          <w:sz w:val="26"/>
          <w:szCs w:val="26"/>
          <w:lang w:bidi="ar-MA"/>
        </w:rPr>
        <w:t>6,6</w:t>
      </w:r>
      <w:r w:rsidR="000C5963" w:rsidRPr="00D4013D">
        <w:rPr>
          <w:rFonts w:asciiTheme="majorBidi" w:hAnsiTheme="majorBidi" w:cstheme="majorBidi"/>
          <w:sz w:val="26"/>
          <w:szCs w:val="26"/>
          <w:rtl/>
          <w:lang w:bidi="ar-MA"/>
        </w:rPr>
        <w:t>%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D4013D">
        <w:rPr>
          <w:rFonts w:asciiTheme="majorBidi" w:hAnsiTheme="majorBidi" w:cstheme="majorBidi"/>
          <w:sz w:val="26"/>
          <w:szCs w:val="26"/>
          <w:rtl/>
          <w:lang w:bidi="ar-MA"/>
        </w:rPr>
        <w:t>ارتفاعا في مستوى البطالة خلال 12 شهرا المقبلة. وهكذا استقر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رصيد هذا المؤشر في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/>
          <w:sz w:val="26"/>
          <w:szCs w:val="26"/>
          <w:lang w:bidi="ar-MA"/>
        </w:rPr>
        <w:t>76,2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مسجلا تحسنا </w:t>
      </w:r>
      <w:r w:rsidR="00773A39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سواء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بال</w:t>
      </w:r>
      <w:r w:rsidR="00773A39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>مقارنة مع ا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لفصل السابق </w:t>
      </w:r>
      <w:r w:rsidR="00773A39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>أ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و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>مع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نفس الفصل من السنة الماضية حيث استقر في ناقص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/>
          <w:sz w:val="26"/>
          <w:szCs w:val="26"/>
          <w:lang w:bidi="ar-MA"/>
        </w:rPr>
        <w:t>77,5</w:t>
      </w:r>
      <w:r w:rsidR="0091171D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773A39" w:rsidRPr="00D4013D">
        <w:rPr>
          <w:rFonts w:asciiTheme="majorBidi" w:hAnsiTheme="majorBidi" w:cstheme="majorBidi"/>
          <w:color w:val="000000" w:themeColor="text1"/>
          <w:sz w:val="26"/>
          <w:szCs w:val="26"/>
          <w:rtl/>
        </w:rPr>
        <w:t xml:space="preserve"> و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773A39" w:rsidRPr="00D4013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80,4  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773A39" w:rsidRPr="00D4013D">
        <w:rPr>
          <w:rFonts w:asciiTheme="majorBidi" w:hAnsiTheme="majorBidi" w:cstheme="majorBidi"/>
          <w:color w:val="000000" w:themeColor="text1"/>
          <w:sz w:val="26"/>
          <w:szCs w:val="26"/>
          <w:rtl/>
        </w:rPr>
        <w:t xml:space="preserve"> على التوالي</w:t>
      </w:r>
      <w:r w:rsidR="00773A39" w:rsidRPr="00D4013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45337F" w:rsidRDefault="0055190C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lastRenderedPageBreak/>
        <w:t xml:space="preserve">مبيان 3: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التطور المستقبلي للبطالة(أرصدة الآراء)</w:t>
      </w:r>
    </w:p>
    <w:p w:rsidR="0045337F" w:rsidRDefault="0045337F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noProof/>
        </w:rPr>
        <w:drawing>
          <wp:inline distT="0" distB="0" distL="0" distR="0">
            <wp:extent cx="6465570" cy="2546350"/>
            <wp:effectExtent l="19050" t="0" r="11430" b="635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C77D8" w:rsidRDefault="0091171D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المصدر: المندوبية السامية للتخطيط، البحث الوطني الدائم حول الظرفية لدى الأسر</w:t>
      </w:r>
    </w:p>
    <w:p w:rsidR="00795089" w:rsidRPr="00536E6D" w:rsidRDefault="00795089" w:rsidP="00EF6AB2">
      <w:pPr>
        <w:bidi/>
        <w:spacing w:line="360" w:lineRule="auto"/>
        <w:jc w:val="both"/>
        <w:rPr>
          <w:rFonts w:asciiTheme="majorBidi" w:hAnsiTheme="majorBidi" w:cstheme="majorBidi"/>
          <w:sz w:val="26"/>
          <w:szCs w:val="26"/>
        </w:rPr>
      </w:pPr>
    </w:p>
    <w:p w:rsidR="008F7E7D" w:rsidRPr="00EF6AB2" w:rsidRDefault="0047396E" w:rsidP="00EF6AB2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</w:pPr>
      <w:r w:rsidRPr="008F7E7D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الظرفية غير ملائمة لاقتناء السلع</w:t>
      </w:r>
      <w:r w:rsidR="0091171D" w:rsidRPr="008F7E7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Pr="008F7E7D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المستديمة </w:t>
      </w:r>
    </w:p>
    <w:p w:rsidR="009C6C59" w:rsidRDefault="0047396E" w:rsidP="00EF6AB2">
      <w:pPr>
        <w:widowControl/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اعتبرت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7735B" w:rsidRPr="00EF6AB2">
        <w:rPr>
          <w:rFonts w:asciiTheme="majorBidi" w:hAnsiTheme="majorBidi" w:cstheme="majorBidi"/>
          <w:sz w:val="26"/>
          <w:szCs w:val="26"/>
          <w:lang w:bidi="ar-MA"/>
        </w:rPr>
        <w:t>78,9</w:t>
      </w:r>
      <w:r w:rsidR="000C5963" w:rsidRPr="00EF6AB2">
        <w:rPr>
          <w:rFonts w:asciiTheme="majorBidi" w:hAnsiTheme="majorBidi" w:cstheme="majorBidi"/>
          <w:sz w:val="26"/>
          <w:szCs w:val="26"/>
          <w:rtl/>
          <w:lang w:bidi="ar-MA"/>
        </w:rPr>
        <w:t>%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 الأسر، </w:t>
      </w:r>
      <w:r w:rsidR="00341A12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</w:t>
      </w:r>
      <w:r w:rsidR="00C53D3F"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الثاني</w:t>
      </w:r>
      <w:r w:rsidR="00341A12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سنة </w:t>
      </w:r>
      <w:r w:rsidR="0045337F" w:rsidRPr="00EF6AB2">
        <w:rPr>
          <w:rFonts w:asciiTheme="majorBidi" w:hAnsiTheme="majorBidi" w:cstheme="majorBidi"/>
          <w:sz w:val="26"/>
          <w:szCs w:val="26"/>
          <w:rtl/>
          <w:lang w:bidi="ar-MA"/>
        </w:rPr>
        <w:t>2024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، أن الظروف غير ملائمة للقيام بشراء سلع مستديمة</w:t>
      </w:r>
      <w:r w:rsidR="002041DE" w:rsidRPr="00EF6AB2">
        <w:rPr>
          <w:rFonts w:asciiTheme="majorBidi" w:hAnsiTheme="majorBidi" w:cstheme="majorBidi"/>
          <w:sz w:val="26"/>
          <w:szCs w:val="26"/>
          <w:rtl/>
          <w:lang w:bidi="ar-MA"/>
        </w:rPr>
        <w:t>،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في حين رأت </w:t>
      </w:r>
      <w:r w:rsidR="00B7735B" w:rsidRPr="00EF6AB2">
        <w:rPr>
          <w:rFonts w:asciiTheme="majorBidi" w:hAnsiTheme="majorBidi" w:cstheme="majorBidi"/>
          <w:sz w:val="26"/>
          <w:szCs w:val="26"/>
          <w:lang w:bidi="ar-MA"/>
        </w:rPr>
        <w:t>9,5</w:t>
      </w:r>
      <w:r w:rsidR="000C5963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عكس ذلك.</w:t>
      </w:r>
      <w:r w:rsidR="00AA25A7" w:rsidRPr="00EF6AB2">
        <w:rPr>
          <w:rFonts w:asciiTheme="majorBidi" w:hAnsiTheme="majorBidi" w:cstheme="majorBidi"/>
          <w:sz w:val="26"/>
          <w:szCs w:val="26"/>
          <w:rtl/>
          <w:lang w:bidi="ar-MA"/>
        </w:rPr>
        <w:t>وهكذا استقر رصيد هذا المؤشر في مستوى سلبي بلغ ناقص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C6C59" w:rsidRPr="00EF6AB2">
        <w:rPr>
          <w:rFonts w:asciiTheme="majorBidi" w:hAnsiTheme="majorBidi" w:cstheme="majorBidi"/>
          <w:sz w:val="26"/>
          <w:szCs w:val="26"/>
          <w:lang w:bidi="ar-MA"/>
        </w:rPr>
        <w:t>69,4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AA25A7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AA25A7" w:rsidRPr="00EF6AB2">
        <w:rPr>
          <w:rFonts w:asciiTheme="majorBidi" w:hAnsiTheme="majorBidi" w:cstheme="majorBidi"/>
          <w:sz w:val="26"/>
          <w:szCs w:val="26"/>
          <w:rtl/>
          <w:lang w:bidi="ar-MA"/>
        </w:rPr>
        <w:t>قطة، مقابل ناقص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 </w:t>
      </w:r>
      <w:r w:rsidR="009C6C59" w:rsidRPr="00EF6AB2">
        <w:rPr>
          <w:rFonts w:asciiTheme="majorBidi" w:hAnsiTheme="majorBidi" w:cstheme="majorBidi"/>
          <w:sz w:val="26"/>
          <w:szCs w:val="26"/>
          <w:lang w:bidi="ar-MA"/>
        </w:rPr>
        <w:t>72,9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AA25A7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AA25A7" w:rsidRPr="00EF6AB2">
        <w:rPr>
          <w:rFonts w:asciiTheme="majorBidi" w:hAnsiTheme="majorBidi" w:cstheme="majorBidi"/>
          <w:sz w:val="26"/>
          <w:szCs w:val="26"/>
          <w:rtl/>
          <w:lang w:bidi="ar-MA"/>
        </w:rPr>
        <w:t>قطة خلال الفصل السابق و ناقص</w:t>
      </w:r>
      <w:r w:rsidR="00EC378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68,9</w:t>
      </w:r>
      <w:r w:rsidR="00AA25A7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 ن</w:t>
      </w:r>
      <w:r w:rsidR="00AA25A7" w:rsidRPr="00EF6AB2">
        <w:rPr>
          <w:rFonts w:asciiTheme="majorBidi" w:hAnsiTheme="majorBidi" w:cstheme="majorBidi"/>
          <w:sz w:val="26"/>
          <w:szCs w:val="26"/>
          <w:rtl/>
          <w:lang w:bidi="ar-MA"/>
        </w:rPr>
        <w:t>قطة خلال نفس الفصل من السنة الماضية.</w:t>
      </w:r>
    </w:p>
    <w:p w:rsidR="00EF6AB2" w:rsidRDefault="00EF6AB2" w:rsidP="00EF6AB2">
      <w:pPr>
        <w:widowControl/>
        <w:autoSpaceDE/>
        <w:autoSpaceDN/>
        <w:bidi/>
        <w:adjustRightInd/>
        <w:spacing w:line="360" w:lineRule="auto"/>
        <w:ind w:left="283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</w:p>
    <w:p w:rsidR="0045337F" w:rsidRDefault="0055190C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4: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فرص اقتناء السلع المستديمة</w:t>
      </w:r>
      <w:r w:rsidR="0091171D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</w:p>
    <w:p w:rsidR="0045337F" w:rsidRDefault="0045337F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  <w:r>
        <w:rPr>
          <w:noProof/>
        </w:rPr>
        <w:drawing>
          <wp:inline distT="0" distB="0" distL="0" distR="0">
            <wp:extent cx="6389370" cy="2901950"/>
            <wp:effectExtent l="19050" t="0" r="11430" b="0"/>
            <wp:docPr id="4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C77D8" w:rsidRDefault="0091171D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</w:rPr>
      </w:pPr>
      <w:r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المصدر: المندوبية السامية للتخطيط، البحث الوطني الدائم حول الظرفية لدى الأسر</w:t>
      </w:r>
    </w:p>
    <w:p w:rsidR="00EF6AB2" w:rsidRDefault="00EF6AB2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</w:p>
    <w:p w:rsidR="00EF6AB2" w:rsidRDefault="00EF6AB2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</w:p>
    <w:p w:rsidR="00EF6AB2" w:rsidRDefault="00EF6AB2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</w:p>
    <w:p w:rsidR="008F7E7D" w:rsidRPr="008F7E7D" w:rsidRDefault="00FC64EF" w:rsidP="00EF6AB2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7206A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lastRenderedPageBreak/>
        <w:t>ال</w:t>
      </w:r>
      <w:r w:rsidRPr="007206AD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وضعي</w:t>
      </w:r>
      <w:r w:rsidRPr="007206A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ة</w:t>
      </w:r>
      <w:r w:rsidRPr="007206AD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 المالية</w:t>
      </w:r>
      <w:r w:rsidRPr="007206A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: </w:t>
      </w:r>
      <w:r w:rsidR="004602BE" w:rsidRPr="007206A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أسر</w:t>
      </w:r>
      <w:r w:rsidR="004602BE" w:rsidRPr="008F7E7D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أق</w:t>
      </w:r>
      <w:r w:rsidR="004602BE" w:rsidRPr="008F7E7D">
        <w:rPr>
          <w:rFonts w:asciiTheme="majorBidi" w:hAnsiTheme="majorBidi" w:cstheme="majorBidi" w:hint="eastAsia"/>
          <w:b/>
          <w:bCs/>
          <w:sz w:val="28"/>
          <w:szCs w:val="28"/>
          <w:rtl/>
          <w:lang w:bidi="ar-MA"/>
        </w:rPr>
        <w:t>ل</w:t>
      </w:r>
      <w:r w:rsidR="008F7E7D" w:rsidRPr="008F7E7D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 تشاؤما </w:t>
      </w:r>
    </w:p>
    <w:p w:rsidR="00DE18A5" w:rsidRPr="00EF6AB2" w:rsidRDefault="0047396E" w:rsidP="00EF6AB2">
      <w:pPr>
        <w:widowControl/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صرحت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0C5963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7735B" w:rsidRPr="00EF6AB2">
        <w:rPr>
          <w:rFonts w:asciiTheme="majorBidi" w:hAnsiTheme="majorBidi" w:cstheme="majorBidi"/>
          <w:sz w:val="26"/>
          <w:szCs w:val="26"/>
          <w:lang w:bidi="ar-MA"/>
        </w:rPr>
        <w:t>55,</w:t>
      </w:r>
      <w:r w:rsidR="003906C0" w:rsidRPr="00EF6AB2">
        <w:rPr>
          <w:rFonts w:asciiTheme="majorBidi" w:hAnsiTheme="majorBidi" w:cstheme="majorBidi"/>
          <w:sz w:val="26"/>
          <w:szCs w:val="26"/>
          <w:lang w:bidi="ar-MA"/>
        </w:rPr>
        <w:t>8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 الأسر، </w:t>
      </w:r>
      <w:r w:rsidR="00BA32A3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</w:t>
      </w:r>
      <w:r w:rsidR="00C53D3F"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الثاني</w:t>
      </w:r>
      <w:r w:rsidR="00BA32A3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سنة </w:t>
      </w:r>
      <w:r w:rsidR="0045337F" w:rsidRPr="00EF6AB2">
        <w:rPr>
          <w:rFonts w:asciiTheme="majorBidi" w:hAnsiTheme="majorBidi" w:cstheme="majorBidi"/>
          <w:sz w:val="26"/>
          <w:szCs w:val="26"/>
          <w:rtl/>
          <w:lang w:bidi="ar-MA"/>
        </w:rPr>
        <w:t>2024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، أن 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مداخيله</w:t>
      </w:r>
      <w:r w:rsidR="003906C0" w:rsidRPr="00EF6AB2">
        <w:rPr>
          <w:rFonts w:asciiTheme="majorBidi" w:hAnsiTheme="majorBidi" w:cstheme="majorBidi" w:hint="eastAsia"/>
          <w:sz w:val="26"/>
          <w:szCs w:val="26"/>
          <w:rtl/>
          <w:lang w:bidi="ar-MA"/>
        </w:rPr>
        <w:t>ا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تغطي مصاريفها، فيما استنزفت</w:t>
      </w:r>
      <w:r w:rsidR="00CA55E4" w:rsidRPr="00EF6AB2">
        <w:rPr>
          <w:rFonts w:asciiTheme="majorBidi" w:hAnsiTheme="majorBidi" w:cstheme="majorBidi"/>
          <w:sz w:val="26"/>
          <w:szCs w:val="26"/>
          <w:lang w:bidi="ar-MA"/>
        </w:rPr>
        <w:t xml:space="preserve"> 42,1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906C0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من مدخراتها أو لجأت إلى الاقتراض.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ولا يتجاوز معدل الأسر التي تمكنت من ادخار جزء من مداخيلها</w:t>
      </w:r>
      <w:bookmarkStart w:id="0" w:name="_GoBack"/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1586A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B7735B" w:rsidRPr="00EF6AB2">
        <w:rPr>
          <w:rFonts w:asciiTheme="majorBidi" w:hAnsiTheme="majorBidi" w:cstheme="majorBidi"/>
          <w:sz w:val="26"/>
          <w:szCs w:val="26"/>
          <w:lang w:bidi="ar-MA"/>
        </w:rPr>
        <w:t>2,1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1586A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.</w:t>
      </w:r>
      <w:r w:rsidR="0014738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وهكذا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استقر رصيد آراء الأسر حول وضعيتهم المالية الحالية في ناقص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C6C59" w:rsidRPr="00EF6AB2">
        <w:rPr>
          <w:rFonts w:asciiTheme="majorBidi" w:hAnsiTheme="majorBidi" w:cstheme="majorBidi"/>
          <w:sz w:val="26"/>
          <w:szCs w:val="26"/>
          <w:lang w:bidi="ar-MA"/>
        </w:rPr>
        <w:t>40,0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نقطة</w:t>
      </w:r>
      <w:r w:rsidR="0091171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مسجلا تحسنا </w:t>
      </w:r>
      <w:r w:rsidR="00DE18A5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سواء 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>بال</w:t>
      </w:r>
      <w:r w:rsidR="00DE18A5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مقارنة مع ا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لفصل السابق </w:t>
      </w:r>
      <w:r w:rsidR="00DE18A5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أ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>و</w:t>
      </w:r>
      <w:r w:rsidR="00DE18A5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مع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نفس الفصل من السنة الماضية حيث استقر في ناقص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 </w:t>
      </w:r>
      <w:r w:rsidR="00DE18A5" w:rsidRPr="00EF6AB2">
        <w:rPr>
          <w:rFonts w:asciiTheme="majorBidi" w:hAnsiTheme="majorBidi" w:cstheme="majorBidi"/>
          <w:sz w:val="26"/>
          <w:szCs w:val="26"/>
          <w:lang w:bidi="ar-MA"/>
        </w:rPr>
        <w:t>40,6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نقطة و ناقص</w:t>
      </w:r>
      <w:r w:rsidR="00DE18A5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41,4</w:t>
      </w:r>
      <w:r w:rsidR="003906C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E18A5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نقطة على التوالي.</w:t>
      </w:r>
    </w:p>
    <w:bookmarkEnd w:id="0"/>
    <w:p w:rsidR="009D5370" w:rsidRDefault="0047396E" w:rsidP="00EF6AB2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وبخصوص تطور الوضعية المالية للأسر خلال 12 شهرا الماضية، صرحت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56,</w:t>
      </w:r>
      <w:r w:rsidR="00B82C2A" w:rsidRPr="0098386B">
        <w:rPr>
          <w:rFonts w:asciiTheme="majorBidi" w:hAnsiTheme="majorBidi" w:cstheme="majorBidi"/>
          <w:sz w:val="26"/>
          <w:szCs w:val="26"/>
          <w:lang w:bidi="ar-MA"/>
        </w:rPr>
        <w:t>5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906C0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752D5">
        <w:rPr>
          <w:rFonts w:asciiTheme="majorBidi" w:hAnsiTheme="majorBidi" w:cstheme="majorBidi" w:hint="cs"/>
          <w:sz w:val="26"/>
          <w:szCs w:val="26"/>
          <w:rtl/>
          <w:lang w:bidi="ar-MA"/>
        </w:rPr>
        <w:t>م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ن الأسر</w:t>
      </w:r>
      <w:r w:rsidR="00E74730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مقابل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7735B" w:rsidRPr="0098386B">
        <w:rPr>
          <w:rFonts w:asciiTheme="majorBidi" w:hAnsiTheme="majorBidi" w:cstheme="majorBidi"/>
          <w:sz w:val="26"/>
          <w:szCs w:val="26"/>
          <w:lang w:bidi="ar-MA"/>
        </w:rPr>
        <w:t>3,3</w:t>
      </w:r>
      <w:r w:rsidR="00E1586A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بتدهورها. </w:t>
      </w:r>
      <w:r w:rsidR="00E1586A">
        <w:rPr>
          <w:rFonts w:asciiTheme="majorBidi" w:hAnsiTheme="majorBidi" w:cstheme="majorBidi" w:hint="cs"/>
          <w:sz w:val="26"/>
          <w:szCs w:val="26"/>
          <w:rtl/>
          <w:lang w:bidi="ar-MA"/>
        </w:rPr>
        <w:t>وهكذا</w:t>
      </w:r>
      <w:r w:rsidR="00E1586A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استقر </w:t>
      </w:r>
      <w:r w:rsidR="009D5370" w:rsidRPr="003459C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رصيد هذا المؤشر </w:t>
      </w:r>
      <w:r w:rsidR="00E1586A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في مستوى سلبي </w:t>
      </w:r>
      <w:r w:rsidR="00DE18A5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بلغ </w:t>
      </w:r>
      <w:r w:rsidR="00DE18A5">
        <w:rPr>
          <w:rFonts w:asciiTheme="majorBidi" w:hAnsiTheme="majorBidi" w:cstheme="majorBidi" w:hint="cs"/>
          <w:sz w:val="26"/>
          <w:szCs w:val="26"/>
          <w:rtl/>
          <w:lang w:bidi="ar-MA"/>
        </w:rPr>
        <w:t>ناقص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C6C59" w:rsidRPr="0098386B">
        <w:rPr>
          <w:rFonts w:asciiTheme="majorBidi" w:hAnsiTheme="majorBidi" w:cstheme="majorBidi"/>
          <w:sz w:val="26"/>
          <w:szCs w:val="26"/>
          <w:lang w:bidi="ar-MA"/>
        </w:rPr>
        <w:t>53,2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26C26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ن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</w:t>
      </w:r>
      <w:r w:rsidR="00E1586A">
        <w:rPr>
          <w:rFonts w:asciiTheme="majorBidi" w:hAnsiTheme="majorBidi" w:cstheme="majorBidi" w:hint="cs"/>
          <w:sz w:val="26"/>
          <w:szCs w:val="26"/>
          <w:rtl/>
          <w:lang w:bidi="ar-MA"/>
        </w:rPr>
        <w:t>مقابل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ناقص</w:t>
      </w:r>
      <w:r w:rsidR="009C6C59" w:rsidRPr="0098386B">
        <w:rPr>
          <w:rFonts w:asciiTheme="majorBidi" w:hAnsiTheme="majorBidi" w:cstheme="majorBidi"/>
          <w:sz w:val="26"/>
          <w:szCs w:val="26"/>
          <w:lang w:bidi="ar-MA"/>
        </w:rPr>
        <w:t>52,7</w:t>
      </w:r>
      <w:r w:rsidR="00E26C26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ن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السابق </w:t>
      </w:r>
      <w:r w:rsidR="007C69A8">
        <w:rPr>
          <w:rFonts w:asciiTheme="majorBidi" w:hAnsiTheme="majorBidi" w:cstheme="majorBidi" w:hint="cs"/>
          <w:sz w:val="26"/>
          <w:szCs w:val="26"/>
          <w:rtl/>
          <w:lang w:bidi="ar-MA"/>
        </w:rPr>
        <w:t>و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EC378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57,3 </w:t>
      </w:r>
      <w:r w:rsidR="003549B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>خلال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5C100E" w:rsidRPr="00536E6D">
        <w:rPr>
          <w:rFonts w:asciiTheme="majorBidi" w:hAnsiTheme="majorBidi" w:cstheme="majorBidi"/>
          <w:sz w:val="26"/>
          <w:szCs w:val="26"/>
          <w:rtl/>
          <w:lang w:bidi="ar-MA"/>
        </w:rPr>
        <w:t>نفس الفصل من السنة الماضية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9969D2" w:rsidRPr="00536E6D" w:rsidRDefault="0047396E" w:rsidP="00EF6AB2">
      <w:pPr>
        <w:bidi/>
        <w:spacing w:before="24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أما بخصوص تصور الأسر لتطور وضعيتها المالية خلال 12 شهرا المقبلة، فتتوقع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C0A97" w:rsidRPr="0098386B">
        <w:rPr>
          <w:rFonts w:asciiTheme="majorBidi" w:hAnsiTheme="majorBidi" w:cstheme="majorBidi"/>
          <w:sz w:val="26"/>
          <w:szCs w:val="26"/>
          <w:lang w:bidi="ar-MA"/>
        </w:rPr>
        <w:t>16,7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906C0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منها تحسنها </w:t>
      </w:r>
      <w:r w:rsidR="007C69A8">
        <w:rPr>
          <w:rFonts w:asciiTheme="majorBidi" w:hAnsiTheme="majorBidi" w:cstheme="majorBidi" w:hint="cs"/>
          <w:sz w:val="26"/>
          <w:szCs w:val="26"/>
          <w:rtl/>
          <w:lang w:bidi="ar-MA"/>
        </w:rPr>
        <w:t>و</w:t>
      </w:r>
      <w:r w:rsidR="00BC0A97" w:rsidRPr="0098386B">
        <w:rPr>
          <w:rFonts w:asciiTheme="majorBidi" w:hAnsiTheme="majorBidi" w:cstheme="majorBidi"/>
          <w:sz w:val="26"/>
          <w:szCs w:val="26"/>
          <w:lang w:bidi="ar-MA"/>
        </w:rPr>
        <w:t>52,</w:t>
      </w:r>
      <w:r w:rsidR="00B82C2A" w:rsidRPr="0098386B">
        <w:rPr>
          <w:rFonts w:asciiTheme="majorBidi" w:hAnsiTheme="majorBidi" w:cstheme="majorBidi"/>
          <w:sz w:val="26"/>
          <w:szCs w:val="26"/>
          <w:lang w:bidi="ar-MA"/>
        </w:rPr>
        <w:t>7</w:t>
      </w:r>
      <w:r w:rsidR="007C69A8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906C0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C69A8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استقرارها و 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C0A97" w:rsidRPr="0098386B">
        <w:rPr>
          <w:rFonts w:asciiTheme="majorBidi" w:hAnsiTheme="majorBidi" w:cstheme="majorBidi"/>
          <w:sz w:val="26"/>
          <w:szCs w:val="26"/>
          <w:lang w:bidi="ar-MA"/>
        </w:rPr>
        <w:t>30,</w:t>
      </w:r>
      <w:r w:rsidR="00B82C2A" w:rsidRPr="0098386B">
        <w:rPr>
          <w:rFonts w:asciiTheme="majorBidi" w:hAnsiTheme="majorBidi" w:cstheme="majorBidi"/>
          <w:sz w:val="26"/>
          <w:szCs w:val="26"/>
          <w:lang w:bidi="ar-MA"/>
        </w:rPr>
        <w:t>6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906C0" w:rsidRPr="00536E6D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تدهورها. 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وهكذا، </w:t>
      </w:r>
      <w:r w:rsidR="008D692F">
        <w:rPr>
          <w:rFonts w:asciiTheme="majorBidi" w:hAnsiTheme="majorBidi" w:cstheme="majorBidi" w:hint="cs"/>
          <w:sz w:val="26"/>
          <w:szCs w:val="26"/>
          <w:rtl/>
          <w:lang w:bidi="ar-MA"/>
        </w:rPr>
        <w:t>ا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>س</w:t>
      </w:r>
      <w:r w:rsidR="008D692F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تقر </w:t>
      </w:r>
      <w:r w:rsidR="00CD03A7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رصيد هذا المؤشر 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في</w:t>
      </w:r>
      <w:r w:rsidR="007C69A8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مستوى سلبي بلغ ناقص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C6C59" w:rsidRPr="0098386B">
        <w:rPr>
          <w:rFonts w:asciiTheme="majorBidi" w:hAnsiTheme="majorBidi" w:cstheme="majorBidi"/>
          <w:sz w:val="26"/>
          <w:szCs w:val="26"/>
          <w:lang w:bidi="ar-MA"/>
        </w:rPr>
        <w:t>13,9</w:t>
      </w:r>
      <w:r w:rsidR="00E26C26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ن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>قطة</w:t>
      </w:r>
      <w:r w:rsidR="00A213A6" w:rsidRPr="00536E6D">
        <w:rPr>
          <w:rFonts w:asciiTheme="majorBidi" w:hAnsiTheme="majorBidi" w:cstheme="majorBidi"/>
          <w:sz w:val="26"/>
          <w:szCs w:val="26"/>
          <w:rtl/>
          <w:lang w:bidi="ar-MA"/>
        </w:rPr>
        <w:t>،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D5370">
        <w:rPr>
          <w:rFonts w:asciiTheme="majorBidi" w:hAnsiTheme="majorBidi" w:cstheme="majorBidi" w:hint="cs"/>
          <w:sz w:val="26"/>
          <w:szCs w:val="26"/>
          <w:rtl/>
          <w:lang w:bidi="ar-MA"/>
        </w:rPr>
        <w:t>مسجلا بذلك تدهورا سواء بالمقارنة مع الفصل السابق أو مع نفس الفصل من السنة السابقة</w:t>
      </w:r>
      <w:r w:rsidR="00E1586A">
        <w:rPr>
          <w:rFonts w:asciiTheme="majorBidi" w:hAnsiTheme="majorBidi" w:cstheme="majorBidi" w:hint="cs"/>
          <w:sz w:val="26"/>
          <w:szCs w:val="26"/>
          <w:rtl/>
          <w:lang w:bidi="ar-MA"/>
        </w:rPr>
        <w:t>،</w:t>
      </w:r>
      <w:r w:rsidR="009D537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حيث استقر في ن</w:t>
      </w:r>
      <w:r w:rsidR="009D5370" w:rsidRPr="00536E6D">
        <w:rPr>
          <w:rFonts w:asciiTheme="majorBidi" w:hAnsiTheme="majorBidi" w:cstheme="majorBidi"/>
          <w:sz w:val="26"/>
          <w:szCs w:val="26"/>
          <w:rtl/>
          <w:lang w:bidi="ar-MA"/>
        </w:rPr>
        <w:t>اقص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       </w:t>
      </w:r>
      <w:r w:rsidR="009C6C59" w:rsidRPr="0098386B">
        <w:rPr>
          <w:rFonts w:asciiTheme="majorBidi" w:hAnsiTheme="majorBidi" w:cstheme="majorBidi"/>
          <w:sz w:val="26"/>
          <w:szCs w:val="26"/>
          <w:lang w:bidi="ar-MA"/>
        </w:rPr>
        <w:t>13,4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D5370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9D5370" w:rsidRPr="00536E6D">
        <w:rPr>
          <w:rFonts w:asciiTheme="majorBidi" w:hAnsiTheme="majorBidi" w:cstheme="majorBidi"/>
          <w:sz w:val="26"/>
          <w:szCs w:val="26"/>
          <w:rtl/>
          <w:lang w:bidi="ar-MA"/>
        </w:rPr>
        <w:t>قطة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9D5370" w:rsidRPr="00536E6D">
        <w:rPr>
          <w:rFonts w:asciiTheme="majorBidi" w:hAnsiTheme="majorBidi" w:cstheme="majorBidi"/>
          <w:sz w:val="26"/>
          <w:szCs w:val="26"/>
          <w:rtl/>
          <w:lang w:bidi="ar-MA"/>
        </w:rPr>
        <w:t>وناقص</w:t>
      </w:r>
      <w:r w:rsidR="003906C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EC378D" w:rsidRPr="0098386B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6,1 </w:t>
      </w:r>
      <w:r w:rsidR="009D5370"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</w:t>
      </w:r>
      <w:r w:rsidR="009D5370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على التوالي</w:t>
      </w:r>
      <w:r w:rsidR="009D5370" w:rsidRPr="00536E6D">
        <w:rPr>
          <w:rFonts w:asciiTheme="majorBidi" w:hAnsiTheme="majorBidi" w:cstheme="majorBidi"/>
          <w:sz w:val="26"/>
          <w:szCs w:val="26"/>
          <w:rtl/>
          <w:lang w:bidi="ar-MA"/>
        </w:rPr>
        <w:t>.</w:t>
      </w:r>
    </w:p>
    <w:p w:rsidR="00E1586A" w:rsidRDefault="0055190C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5: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تصور الأسر حول وضعيتهم المالية</w:t>
      </w:r>
      <w:r w:rsidR="003906C0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</w:p>
    <w:p w:rsidR="003967FD" w:rsidRDefault="003967FD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noProof/>
        </w:rPr>
        <w:drawing>
          <wp:inline distT="0" distB="0" distL="0" distR="0">
            <wp:extent cx="6451600" cy="4191000"/>
            <wp:effectExtent l="19050" t="0" r="25400" b="0"/>
            <wp:docPr id="6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C77D8" w:rsidRDefault="0091171D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المصدر: المندوبية السامية للتخطيط، البحث الوطني الدائم حول الظرفية لدى الأسر</w:t>
      </w:r>
    </w:p>
    <w:p w:rsidR="00E1586A" w:rsidRDefault="00E1586A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</w:p>
    <w:p w:rsidR="0047396E" w:rsidRDefault="0047396E" w:rsidP="00EF6AB2">
      <w:pPr>
        <w:pStyle w:val="Paragraphedeliste"/>
        <w:widowControl/>
        <w:numPr>
          <w:ilvl w:val="0"/>
          <w:numId w:val="2"/>
        </w:numPr>
        <w:autoSpaceDE/>
        <w:autoSpaceDN/>
        <w:bidi/>
        <w:adjustRightInd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lastRenderedPageBreak/>
        <w:t>تطور مؤشرات فصلية أخرى لآراء الأسر حول الظرفية</w:t>
      </w:r>
    </w:p>
    <w:p w:rsidR="0047396E" w:rsidRPr="00536E6D" w:rsidRDefault="0047396E" w:rsidP="00EF6AB2">
      <w:pPr>
        <w:widowControl/>
        <w:autoSpaceDE/>
        <w:autoSpaceDN/>
        <w:bidi/>
        <w:adjustRightInd/>
        <w:spacing w:after="200" w:line="360" w:lineRule="auto"/>
        <w:ind w:left="142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إضافة إلى المؤشرات السابقة، يوفر هذا البحث معطيات فصلية عن تصورات الأسر بخصوص جوانب أخرى لظروف معيشتها، منها القدرة على </w:t>
      </w:r>
      <w:r w:rsidR="00EF6AB2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>الادخار وتطو</w:t>
      </w:r>
      <w:r w:rsidR="00EF6AB2" w:rsidRPr="00536E6D">
        <w:rPr>
          <w:rFonts w:asciiTheme="majorBidi" w:hAnsiTheme="majorBidi" w:cstheme="majorBidi" w:hint="eastAsia"/>
          <w:sz w:val="26"/>
          <w:szCs w:val="26"/>
          <w:rtl/>
          <w:lang w:bidi="ar-MA"/>
        </w:rPr>
        <w:t>ر</w:t>
      </w:r>
      <w:r w:rsidR="0014738D" w:rsidRPr="00536E6D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أثمنة</w:t>
      </w:r>
      <w:r w:rsidRPr="00536E6D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المواد الغذائية.</w:t>
      </w:r>
    </w:p>
    <w:p w:rsidR="008D7CB6" w:rsidRPr="008D7CB6" w:rsidRDefault="0047396E" w:rsidP="00EF6AB2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توقعات</w:t>
      </w:r>
      <w:r w:rsidR="00D73040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</w:t>
      </w:r>
      <w:r w:rsidR="00811E88" w:rsidRPr="00811E88">
        <w:rPr>
          <w:rFonts w:asciiTheme="majorBidi" w:hAnsiTheme="majorBidi" w:cs="Times New Roman"/>
          <w:b/>
          <w:bCs/>
          <w:sz w:val="28"/>
          <w:szCs w:val="28"/>
          <w:rtl/>
          <w:lang w:bidi="ar-MA"/>
        </w:rPr>
        <w:t>متشائمة</w:t>
      </w:r>
      <w:r w:rsidR="00D73040">
        <w:rPr>
          <w:rFonts w:asciiTheme="majorBidi" w:hAnsiTheme="majorBidi" w:cs="Times New Roman" w:hint="cs"/>
          <w:b/>
          <w:bCs/>
          <w:sz w:val="28"/>
          <w:szCs w:val="28"/>
          <w:rtl/>
          <w:lang w:bidi="ar-MA"/>
        </w:rPr>
        <w:t xml:space="preserve"> </w:t>
      </w: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 xml:space="preserve">بخصوص قدرة الأسر على الادخار </w:t>
      </w:r>
    </w:p>
    <w:p w:rsidR="00FC1CC8" w:rsidRPr="00B62A53" w:rsidRDefault="00A11C67" w:rsidP="00EF6AB2">
      <w:pPr>
        <w:widowControl/>
        <w:autoSpaceDE/>
        <w:autoSpaceDN/>
        <w:bidi/>
        <w:adjustRightInd/>
        <w:spacing w:after="200" w:line="360" w:lineRule="auto"/>
        <w:jc w:val="both"/>
        <w:rPr>
          <w:rFonts w:ascii="Times New Roman" w:hAnsi="Times New Roman" w:cs="Simplified Arabic"/>
          <w:sz w:val="28"/>
          <w:szCs w:val="26"/>
          <w:rtl/>
          <w:lang w:bidi="ar-MA"/>
        </w:rPr>
      </w:pP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</w:t>
      </w:r>
      <w:r w:rsidR="00C53D3F"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الثاني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سنة </w:t>
      </w:r>
      <w:r w:rsidR="0045337F" w:rsidRPr="00EF6AB2">
        <w:rPr>
          <w:rFonts w:asciiTheme="majorBidi" w:hAnsiTheme="majorBidi" w:cstheme="majorBidi"/>
          <w:sz w:val="26"/>
          <w:szCs w:val="26"/>
          <w:rtl/>
          <w:lang w:bidi="ar-MA"/>
        </w:rPr>
        <w:t>2024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، صرحت </w:t>
      </w:r>
      <w:r w:rsidR="005E13A1" w:rsidRPr="00EF6AB2">
        <w:rPr>
          <w:rFonts w:asciiTheme="majorBidi" w:hAnsiTheme="majorBidi" w:cstheme="majorBidi"/>
          <w:sz w:val="26"/>
          <w:szCs w:val="26"/>
          <w:lang w:bidi="ar-MA"/>
        </w:rPr>
        <w:t>9,8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="00D73040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مقابل </w:t>
      </w:r>
      <w:r w:rsidR="005E13A1" w:rsidRPr="00EF6AB2">
        <w:rPr>
          <w:rFonts w:asciiTheme="majorBidi" w:hAnsiTheme="majorBidi" w:cstheme="majorBidi"/>
          <w:sz w:val="26"/>
          <w:szCs w:val="26"/>
          <w:lang w:bidi="ar-MA"/>
        </w:rPr>
        <w:t>90,2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73040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من الأسر بقدرتها على </w:t>
      </w:r>
      <w:r w:rsidR="004C7F37"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الادخار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خلال 12 شهرا المقبلة،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وهكذا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استقر رصيد هذا المؤشر في مستوى سلبي بلغ ناقص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/>
          <w:sz w:val="26"/>
          <w:szCs w:val="26"/>
          <w:lang w:bidi="ar-MA"/>
        </w:rPr>
        <w:t>80,</w:t>
      </w:r>
      <w:r w:rsidR="00492F39" w:rsidRPr="00EF6AB2">
        <w:rPr>
          <w:rFonts w:asciiTheme="majorBidi" w:hAnsiTheme="majorBidi" w:cstheme="majorBidi"/>
          <w:sz w:val="26"/>
          <w:szCs w:val="26"/>
          <w:lang w:bidi="ar-MA"/>
        </w:rPr>
        <w:t>4</w:t>
      </w:r>
      <w:r w:rsidR="00292AE6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ن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</w:t>
      </w:r>
      <w:r w:rsidR="00292AE6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مقابل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ناقص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/>
          <w:sz w:val="26"/>
          <w:szCs w:val="26"/>
          <w:lang w:bidi="ar-MA"/>
        </w:rPr>
        <w:t>81,5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خلال الفصل السابق </w:t>
      </w:r>
      <w:r w:rsidR="00292AE6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و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ناقص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79,4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نقطة خلال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292AE6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نفس الفصل من السنة الماضية.</w:t>
      </w:r>
    </w:p>
    <w:p w:rsidR="00FC64EF" w:rsidRPr="0055190C" w:rsidRDefault="00FC64EF" w:rsidP="00EF6AB2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ind w:left="643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أثمنة المواد الغذائية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: </w:t>
      </w:r>
      <w:r w:rsidRPr="0055190C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توقع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 با</w:t>
      </w:r>
      <w:r w:rsidRPr="003033A7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رتفاع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>ها</w:t>
      </w:r>
    </w:p>
    <w:p w:rsidR="0047396E" w:rsidRPr="00B50551" w:rsidRDefault="00BE0366" w:rsidP="00EF6AB2">
      <w:pPr>
        <w:widowControl/>
        <w:autoSpaceDE/>
        <w:autoSpaceDN/>
        <w:bidi/>
        <w:adjustRightInd/>
        <w:spacing w:after="20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خلال الفصل </w:t>
      </w:r>
      <w:r w:rsidR="00C53D3F"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الثاني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من سنة </w:t>
      </w:r>
      <w:r w:rsidR="0045337F" w:rsidRPr="00EF6AB2">
        <w:rPr>
          <w:rFonts w:asciiTheme="majorBidi" w:hAnsiTheme="majorBidi" w:cstheme="majorBidi"/>
          <w:sz w:val="26"/>
          <w:szCs w:val="26"/>
          <w:rtl/>
          <w:lang w:bidi="ar-MA"/>
        </w:rPr>
        <w:t>2024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>، صرحت</w:t>
      </w:r>
      <w:r w:rsidR="0055314A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FC64EF" w:rsidRPr="00EF6AB2">
        <w:rPr>
          <w:rFonts w:asciiTheme="majorBidi" w:hAnsiTheme="majorBidi" w:cstheme="majorBidi"/>
          <w:sz w:val="26"/>
          <w:szCs w:val="26"/>
          <w:lang w:bidi="ar-MA"/>
        </w:rPr>
        <w:t>96,4</w:t>
      </w:r>
      <w:r w:rsidR="00FC64EF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FC64EF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FC64EF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من </w:t>
      </w:r>
      <w:r w:rsidR="0055314A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الأسر </w:t>
      </w:r>
      <w:r w:rsidR="003033A7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بأ</w:t>
      </w:r>
      <w:r w:rsidR="003033A7" w:rsidRPr="00EF6AB2">
        <w:rPr>
          <w:rFonts w:asciiTheme="majorBidi" w:hAnsiTheme="majorBidi" w:cstheme="majorBidi" w:hint="eastAsia"/>
          <w:sz w:val="26"/>
          <w:szCs w:val="26"/>
          <w:rtl/>
          <w:lang w:bidi="ar-MA"/>
        </w:rPr>
        <w:t>ن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أسعار المواد الغذائية قد عرفت ارتفاعا خلال 12 شهرا الأخيرة، في حين رأت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5E13A1" w:rsidRPr="00EF6AB2">
        <w:rPr>
          <w:rFonts w:asciiTheme="majorBidi" w:hAnsiTheme="majorBidi" w:cstheme="majorBidi"/>
          <w:sz w:val="26"/>
          <w:szCs w:val="26"/>
          <w:lang w:bidi="ar-MA"/>
        </w:rPr>
        <w:t>0,4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73040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 </w:t>
      </w:r>
      <w:r w:rsidR="0047396E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فقط عكس ذلك. </w:t>
      </w:r>
      <w:r w:rsidR="00B50551" w:rsidRPr="00EF6AB2">
        <w:rPr>
          <w:rFonts w:asciiTheme="majorBidi" w:hAnsiTheme="majorBidi" w:cstheme="majorBidi"/>
          <w:sz w:val="26"/>
          <w:szCs w:val="26"/>
          <w:rtl/>
          <w:lang w:bidi="ar-MA"/>
        </w:rPr>
        <w:t>وهكذا استقر رصيد هذه الآراء في مستوى سلبي بلغ ناقص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703D9D" w:rsidRPr="00EF6AB2">
        <w:rPr>
          <w:rFonts w:asciiTheme="majorBidi" w:hAnsiTheme="majorBidi" w:cstheme="majorBidi"/>
          <w:sz w:val="26"/>
          <w:szCs w:val="26"/>
          <w:lang w:bidi="ar-MA"/>
        </w:rPr>
        <w:t>96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50551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نقطة، عوض ناقص </w:t>
      </w:r>
      <w:r w:rsidR="00703D9D" w:rsidRPr="00EF6AB2">
        <w:rPr>
          <w:rFonts w:asciiTheme="majorBidi" w:hAnsiTheme="majorBidi" w:cstheme="majorBidi"/>
          <w:sz w:val="26"/>
          <w:szCs w:val="26"/>
          <w:lang w:bidi="ar-MA"/>
        </w:rPr>
        <w:t>96,5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50551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نقطة خلال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50551"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الفصل السابق و ناقص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92F39" w:rsidRPr="00EF6AB2">
        <w:rPr>
          <w:rFonts w:asciiTheme="majorBidi" w:hAnsiTheme="majorBidi" w:cstheme="majorBidi"/>
          <w:sz w:val="26"/>
          <w:szCs w:val="26"/>
          <w:lang w:bidi="ar-MA"/>
        </w:rPr>
        <w:t>,0</w:t>
      </w:r>
      <w:r w:rsidR="00EC378D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98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50551" w:rsidRPr="00EF6AB2">
        <w:rPr>
          <w:rFonts w:asciiTheme="majorBidi" w:hAnsiTheme="majorBidi" w:cstheme="majorBidi"/>
          <w:sz w:val="26"/>
          <w:szCs w:val="26"/>
          <w:rtl/>
          <w:lang w:bidi="ar-MA"/>
        </w:rPr>
        <w:t>نقطة خلال نفس الفصل من السنة الماضية.</w:t>
      </w:r>
    </w:p>
    <w:p w:rsidR="0034727A" w:rsidRDefault="0047396E" w:rsidP="00EF6AB2">
      <w:pPr>
        <w:widowControl/>
        <w:autoSpaceDE/>
        <w:autoSpaceDN/>
        <w:bidi/>
        <w:adjustRightInd/>
        <w:spacing w:after="200"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</w:pP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أما بخصوص تطور أسعار المواد الغذائية خلال 12 شهرا المقبلة، فتتوقع </w:t>
      </w:r>
      <w:r w:rsidR="005E13A1" w:rsidRPr="00EF6AB2">
        <w:rPr>
          <w:rFonts w:asciiTheme="majorBidi" w:hAnsiTheme="majorBidi" w:cstheme="majorBidi"/>
          <w:sz w:val="26"/>
          <w:szCs w:val="26"/>
          <w:lang w:bidi="ar-MA"/>
        </w:rPr>
        <w:t>82,1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D73040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من الأسر استمرارها في الارتفاع</w:t>
      </w:r>
      <w:r w:rsidR="0055314A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و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3652A5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492F39" w:rsidRPr="00EF6AB2">
        <w:rPr>
          <w:rFonts w:asciiTheme="majorBidi" w:hAnsiTheme="majorBidi" w:cstheme="majorBidi"/>
          <w:sz w:val="26"/>
          <w:szCs w:val="26"/>
          <w:lang w:bidi="ar-MA"/>
        </w:rPr>
        <w:t>14,9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55314A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استقرارها و </w:t>
      </w:r>
      <w:r w:rsidR="00492F39" w:rsidRPr="00EF6AB2">
        <w:rPr>
          <w:rFonts w:asciiTheme="majorBidi" w:hAnsiTheme="majorBidi" w:cstheme="majorBidi"/>
          <w:sz w:val="26"/>
          <w:szCs w:val="26"/>
          <w:lang w:bidi="ar-MA"/>
        </w:rPr>
        <w:t>3,0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</w:t>
      </w:r>
      <w:r w:rsidR="00D73040" w:rsidRPr="00EF6AB2">
        <w:rPr>
          <w:rFonts w:asciiTheme="majorBidi" w:hAnsiTheme="majorBidi" w:cstheme="majorBidi"/>
          <w:sz w:val="26"/>
          <w:szCs w:val="26"/>
          <w:lang w:bidi="ar-MA"/>
        </w:rPr>
        <w:t>%</w:t>
      </w:r>
      <w:r w:rsidR="00D73040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>انخفاضها</w:t>
      </w:r>
      <w:r w:rsidR="0055314A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.</w:t>
      </w:r>
      <w:r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وهكذا </w:t>
      </w:r>
      <w:r w:rsidR="00B110BB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ا</w:t>
      </w:r>
      <w:r w:rsidR="00B110BB" w:rsidRPr="00EF6AB2">
        <w:rPr>
          <w:rFonts w:asciiTheme="majorBidi" w:hAnsiTheme="majorBidi" w:cstheme="majorBidi"/>
          <w:sz w:val="26"/>
          <w:szCs w:val="26"/>
          <w:rtl/>
          <w:lang w:bidi="ar-MA"/>
        </w:rPr>
        <w:t>س</w:t>
      </w:r>
      <w:r w:rsidR="00B110BB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تقر </w:t>
      </w:r>
      <w:r w:rsidR="00B110BB" w:rsidRPr="00EF6AB2">
        <w:rPr>
          <w:rFonts w:asciiTheme="majorBidi" w:hAnsiTheme="majorBidi" w:cstheme="majorBidi"/>
          <w:sz w:val="26"/>
          <w:szCs w:val="26"/>
          <w:rtl/>
          <w:lang w:bidi="ar-MA"/>
        </w:rPr>
        <w:t>رصيد هذا المؤشر في</w:t>
      </w:r>
      <w:r w:rsidR="00B110BB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مستوى سلبي بلغ ناقص</w:t>
      </w:r>
      <w:r w:rsidR="00AA6038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110BB" w:rsidRPr="00EF6AB2">
        <w:rPr>
          <w:rFonts w:asciiTheme="majorBidi" w:hAnsiTheme="majorBidi" w:cstheme="majorBidi"/>
          <w:sz w:val="26"/>
          <w:szCs w:val="26"/>
          <w:lang w:bidi="ar-MA"/>
        </w:rPr>
        <w:t>79,1</w:t>
      </w:r>
      <w:r w:rsidR="00AA6038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B110BB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B110BB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قطة </w:t>
      </w:r>
      <w:r w:rsidR="00492F39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مقابل </w:t>
      </w:r>
      <w:r w:rsidR="000008D4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ناقص </w:t>
      </w:r>
      <w:r w:rsidR="00492F39" w:rsidRPr="00EF6AB2">
        <w:rPr>
          <w:rFonts w:asciiTheme="majorBidi" w:hAnsiTheme="majorBidi" w:cstheme="majorBidi"/>
          <w:sz w:val="26"/>
          <w:szCs w:val="26"/>
          <w:lang w:bidi="ar-MA"/>
        </w:rPr>
        <w:t>70,1</w:t>
      </w:r>
      <w:r w:rsidR="000008D4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</w:t>
      </w:r>
      <w:r w:rsidR="00492F39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ن</w:t>
      </w:r>
      <w:r w:rsidR="00492F39" w:rsidRPr="00EF6AB2">
        <w:rPr>
          <w:rFonts w:asciiTheme="majorBidi" w:hAnsiTheme="majorBidi" w:cstheme="majorBidi"/>
          <w:sz w:val="26"/>
          <w:szCs w:val="26"/>
          <w:rtl/>
          <w:lang w:bidi="ar-MA"/>
        </w:rPr>
        <w:t>قطة</w:t>
      </w:r>
      <w:r w:rsidR="00492F39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خلال</w:t>
      </w:r>
      <w:r w:rsidR="00B110BB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الفصل السابق </w:t>
      </w:r>
      <w:r w:rsidR="00492F39" w:rsidRPr="00EF6AB2">
        <w:rPr>
          <w:rFonts w:asciiTheme="majorBidi" w:hAnsiTheme="majorBidi" w:cstheme="majorBidi"/>
          <w:sz w:val="26"/>
          <w:szCs w:val="26"/>
          <w:rtl/>
          <w:lang w:bidi="ar-MA"/>
        </w:rPr>
        <w:t>وناقص</w:t>
      </w:r>
      <w:r w:rsidR="00492F39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67,7 </w:t>
      </w:r>
      <w:r w:rsidR="00492F39" w:rsidRPr="00EF6AB2">
        <w:rPr>
          <w:rFonts w:asciiTheme="majorBidi" w:hAnsiTheme="majorBidi" w:cstheme="majorBidi"/>
          <w:sz w:val="26"/>
          <w:szCs w:val="26"/>
          <w:rtl/>
          <w:lang w:bidi="ar-MA"/>
        </w:rPr>
        <w:t xml:space="preserve"> نقطة</w:t>
      </w:r>
      <w:r w:rsidR="00492F39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 xml:space="preserve"> خلال نفس </w:t>
      </w:r>
      <w:r w:rsidR="00B110BB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الفصل من السنة السابقة</w:t>
      </w:r>
      <w:r w:rsidR="00492F39" w:rsidRPr="00EF6AB2">
        <w:rPr>
          <w:rFonts w:asciiTheme="majorBidi" w:hAnsiTheme="majorBidi" w:cstheme="majorBidi" w:hint="cs"/>
          <w:sz w:val="26"/>
          <w:szCs w:val="26"/>
          <w:rtl/>
          <w:lang w:bidi="ar-MA"/>
        </w:rPr>
        <w:t>.</w:t>
      </w:r>
    </w:p>
    <w:p w:rsidR="003967FD" w:rsidRDefault="0055190C" w:rsidP="00EF6AB2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DZ"/>
        </w:rPr>
        <w:t xml:space="preserve">مبيان 6: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تصور الأسر للتطور السابق </w:t>
      </w:r>
      <w:r w:rsidR="0014738D" w:rsidRPr="0055190C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والمستقبلي لأثمنة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المواد الغذائية</w:t>
      </w:r>
      <w:r w:rsidR="00492F39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Pr="0055190C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>(أرصدة الآراء)</w:t>
      </w:r>
    </w:p>
    <w:p w:rsidR="003967FD" w:rsidRDefault="003967FD" w:rsidP="00EF6AB2">
      <w:pPr>
        <w:pStyle w:val="Paragraphedeliste"/>
        <w:widowControl/>
        <w:autoSpaceDE/>
        <w:autoSpaceDN/>
        <w:bidi/>
        <w:adjustRightInd/>
        <w:spacing w:after="200" w:line="360" w:lineRule="auto"/>
        <w:ind w:left="0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  <w:r>
        <w:rPr>
          <w:noProof/>
        </w:rPr>
        <w:drawing>
          <wp:inline distT="0" distB="0" distL="0" distR="0">
            <wp:extent cx="6370320" cy="3213100"/>
            <wp:effectExtent l="19050" t="0" r="11430" b="6350"/>
            <wp:docPr id="7" name="Graphique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C77D8" w:rsidRDefault="0091171D" w:rsidP="00EF6AB2">
      <w:pPr>
        <w:shd w:val="clear" w:color="auto" w:fill="FFFFFF" w:themeFill="background1"/>
        <w:bidi/>
        <w:spacing w:line="360" w:lineRule="auto"/>
        <w:jc w:val="both"/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</w:pPr>
      <w:r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المصدر: المندوبية السامية للتخطيط، البحث الوطني الدائم حول الظرفية لدى الأسر</w:t>
      </w:r>
    </w:p>
    <w:p w:rsidR="0047396E" w:rsidRPr="00536E6D" w:rsidRDefault="0047396E" w:rsidP="00EF6AB2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</w:pPr>
      <w:r w:rsidRPr="00536E6D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lastRenderedPageBreak/>
        <w:t>فيما يلي تفصيل لنتائج مختلف المؤشرات</w:t>
      </w:r>
      <w:r w:rsidR="00EF6AB2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 xml:space="preserve"> </w:t>
      </w:r>
      <w:r w:rsidR="0014738D" w:rsidRPr="00536E6D">
        <w:rPr>
          <w:rFonts w:asciiTheme="majorBidi" w:hAnsiTheme="majorBidi" w:cstheme="majorBidi" w:hint="cs"/>
          <w:b/>
          <w:bCs/>
          <w:sz w:val="26"/>
          <w:szCs w:val="26"/>
          <w:rtl/>
          <w:lang w:bidi="ar-MA"/>
        </w:rPr>
        <w:t>وتذكير بأهم</w:t>
      </w:r>
      <w:r w:rsidRPr="00536E6D">
        <w:rPr>
          <w:rFonts w:asciiTheme="majorBidi" w:hAnsiTheme="majorBidi" w:cstheme="majorBidi"/>
          <w:b/>
          <w:bCs/>
          <w:sz w:val="26"/>
          <w:szCs w:val="26"/>
          <w:rtl/>
          <w:lang w:bidi="ar-MA"/>
        </w:rPr>
        <w:t xml:space="preserve"> المفاهيم.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2"/>
      </w:tblGrid>
      <w:tr w:rsidR="0047396E" w:rsidRPr="00536E6D" w:rsidTr="00A1303D">
        <w:trPr>
          <w:trHeight w:val="6017"/>
          <w:jc w:val="center"/>
        </w:trPr>
        <w:tc>
          <w:tcPr>
            <w:tcW w:w="5000" w:type="pct"/>
          </w:tcPr>
          <w:p w:rsidR="0047396E" w:rsidRPr="00536E6D" w:rsidRDefault="0047396E" w:rsidP="00EF6AB2">
            <w:pPr>
              <w:bidi/>
              <w:spacing w:line="360" w:lineRule="auto"/>
              <w:ind w:left="360"/>
              <w:jc w:val="both"/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</w:pPr>
          </w:p>
          <w:p w:rsidR="0047396E" w:rsidRPr="00536E6D" w:rsidRDefault="0047396E" w:rsidP="00EF6AB2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يتم التعبير في الرسوم البيانية عن</w:t>
            </w:r>
            <w:r w:rsidR="00EF6AB2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تطور مكونات</w:t>
            </w:r>
            <w:r w:rsidR="00EF6AB2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مؤشر ثقة الأسر والمؤشرات الأخرى للبحث بأرصدة الآراء </w:t>
            </w:r>
          </w:p>
          <w:p w:rsidR="0047396E" w:rsidRPr="00536E6D" w:rsidRDefault="0047396E" w:rsidP="00EF6AB2">
            <w:pPr>
              <w:bidi/>
              <w:spacing w:line="360" w:lineRule="auto"/>
              <w:ind w:left="360"/>
              <w:jc w:val="both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MA"/>
              </w:rPr>
            </w:pPr>
            <w:r w:rsidRPr="00536E6D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MA"/>
              </w:rPr>
              <w:t>للتذكير فإن:</w:t>
            </w:r>
          </w:p>
          <w:p w:rsidR="0047396E" w:rsidRPr="00536E6D" w:rsidRDefault="0047396E" w:rsidP="00EF6AB2">
            <w:pPr>
              <w:pStyle w:val="Paragraphedeliste"/>
              <w:numPr>
                <w:ilvl w:val="0"/>
                <w:numId w:val="4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الأسئلة المطروحة تعتبر كيفية</w:t>
            </w:r>
            <w:r w:rsidR="00EF6AB2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تتم الأجوبة عليها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بثلاثة خيارا</w:t>
            </w:r>
            <w:r w:rsidR="0014738D" w:rsidRPr="00536E6D">
              <w:rPr>
                <w:rFonts w:asciiTheme="majorBidi" w:hAnsiTheme="majorBidi" w:cstheme="majorBidi" w:hint="eastAsia"/>
                <w:sz w:val="26"/>
                <w:szCs w:val="26"/>
                <w:rtl/>
                <w:lang w:bidi="ar-MA"/>
              </w:rPr>
              <w:t>ت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(تحسن، استقرار أو تدهور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). تتعل</w:t>
            </w:r>
            <w:r w:rsidR="0014738D" w:rsidRPr="00536E6D">
              <w:rPr>
                <w:rFonts w:asciiTheme="majorBidi" w:hAnsiTheme="majorBidi" w:cstheme="majorBidi" w:hint="eastAsia"/>
                <w:sz w:val="26"/>
                <w:szCs w:val="26"/>
                <w:rtl/>
                <w:lang w:bidi="ar-MA"/>
              </w:rPr>
              <w:t>ق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التغييرات بـ 12 شهرا وتقدم النتائج على شكل أرصدة (الفرق بين نسب الأجوبة "تحسن"والأجوبة"تدهور"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). ول</w:t>
            </w:r>
            <w:r w:rsidR="0014738D" w:rsidRPr="00536E6D">
              <w:rPr>
                <w:rFonts w:asciiTheme="majorBidi" w:hAnsiTheme="majorBidi" w:cstheme="majorBidi" w:hint="eastAsia"/>
                <w:sz w:val="26"/>
                <w:szCs w:val="26"/>
                <w:rtl/>
                <w:lang w:bidi="ar-MA"/>
              </w:rPr>
              <w:t>ا</w:t>
            </w:r>
            <w:r w:rsidR="00EF6AB2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 xml:space="preserve"> 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يحلل مستوى الأرصدة مباشرة بل أن تطورها هو المعتمد في التحليل.</w:t>
            </w:r>
          </w:p>
          <w:p w:rsidR="0047396E" w:rsidRPr="00536E6D" w:rsidRDefault="0047396E" w:rsidP="00EF6AB2">
            <w:pPr>
              <w:pStyle w:val="Paragraphedeliste"/>
              <w:numPr>
                <w:ilvl w:val="0"/>
                <w:numId w:val="4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يتم حساب مؤشر ثقة الأسر على أساس 7 مؤشرات تتعلق أربعة منها بالوضعية العامة في حين تخص الباقية الوضعية الخاصة بالأسرة وهي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كالتالي: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التطورات السابقة لمستوى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المعيشة؛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آفاق تطور مستوى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المعيشة؛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آفاق تطور أعداد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العاطلين؛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فرص اقتناء السلع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المستديمة؛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الوضعية المالية الراهنة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للأسر؛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ind w:left="1434" w:hanging="357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التطور السابق للوضعية المالية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للأسر؛</w:t>
            </w:r>
          </w:p>
          <w:p w:rsidR="0047396E" w:rsidRPr="00536E6D" w:rsidRDefault="0047396E" w:rsidP="00EF6AB2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التطور المستقبلي للوضعية المالية للأسر.</w:t>
            </w:r>
          </w:p>
          <w:p w:rsidR="0047396E" w:rsidRPr="00536E6D" w:rsidRDefault="0047396E" w:rsidP="00EF6AB2">
            <w:pPr>
              <w:pStyle w:val="Paragraphedeliste"/>
              <w:numPr>
                <w:ilvl w:val="0"/>
                <w:numId w:val="6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يتم حساب هذا المؤشر التركيبي باعتماد المعدل الحسابي لأرصدة المؤشرات السبعة المكونة له مع إضافة 100 وبالتالي تتأرجح قيمته بين 0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و200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.</w:t>
            </w:r>
          </w:p>
          <w:p w:rsidR="0047396E" w:rsidRPr="00536E6D" w:rsidRDefault="0047396E" w:rsidP="00EF6AB2">
            <w:pPr>
              <w:pStyle w:val="Paragraphedeliste"/>
              <w:numPr>
                <w:ilvl w:val="0"/>
                <w:numId w:val="6"/>
              </w:num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لقد مكنت اختبارات </w:t>
            </w:r>
            <w:r w:rsidR="0014738D" w:rsidRPr="00536E6D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إحصائية</w:t>
            </w:r>
            <w:r w:rsidR="0014738D" w:rsidRPr="00536E6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 (</w:t>
            </w:r>
            <w:r w:rsidRPr="00536E6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test de </w:t>
            </w:r>
            <w:r w:rsidR="0014738D" w:rsidRPr="00536E6D">
              <w:rPr>
                <w:rFonts w:asciiTheme="majorBidi" w:hAnsiTheme="majorBidi" w:cstheme="majorBidi"/>
                <w:sz w:val="26"/>
                <w:szCs w:val="26"/>
                <w:lang w:bidi="ar-MA"/>
              </w:rPr>
              <w:t xml:space="preserve">Fisher) </w:t>
            </w:r>
            <w:r w:rsidR="0014738D"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>على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سلسلة مؤشر ثقة الأسر خلال الفترة الممتدة من 2008 إلى201</w:t>
            </w:r>
            <w:r w:rsidR="00A40E58">
              <w:rPr>
                <w:rFonts w:asciiTheme="majorBidi" w:hAnsiTheme="majorBidi" w:cstheme="majorBidi" w:hint="cs"/>
                <w:sz w:val="26"/>
                <w:szCs w:val="26"/>
                <w:rtl/>
                <w:lang w:bidi="ar-MA"/>
              </w:rPr>
              <w:t>9</w:t>
            </w: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 من تأكيد غياب التغييرات الموسمية سواء الثابتة أو المتحركة.</w:t>
            </w:r>
          </w:p>
          <w:p w:rsidR="0047396E" w:rsidRPr="00536E6D" w:rsidRDefault="0047396E" w:rsidP="00EF6AB2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</w:p>
          <w:p w:rsidR="0047396E" w:rsidRPr="00536E6D" w:rsidRDefault="0047396E" w:rsidP="00EF6AB2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Theme="majorBidi" w:hAnsiTheme="majorBidi" w:cstheme="majorBidi"/>
                <w:sz w:val="26"/>
                <w:szCs w:val="26"/>
                <w:lang w:bidi="ar-MA"/>
              </w:rPr>
            </w:pPr>
            <w:r w:rsidRPr="00536E6D">
              <w:rPr>
                <w:rFonts w:asciiTheme="majorBidi" w:hAnsiTheme="majorBidi" w:cstheme="majorBidi"/>
                <w:sz w:val="26"/>
                <w:szCs w:val="26"/>
                <w:rtl/>
                <w:lang w:bidi="ar-MA"/>
              </w:rPr>
              <w:t xml:space="preserve">للمزيد من المعلومات حول الجوانب المنهجية لهذا البحث: زوروا الموقع الإلكتروني للمندوبية السامية للتخطيط   </w:t>
            </w:r>
            <w:hyperlink r:id="rId14" w:history="1">
              <w:r w:rsidRPr="00536E6D">
                <w:rPr>
                  <w:rStyle w:val="Lienhypertexte"/>
                  <w:rFonts w:asciiTheme="majorBidi" w:hAnsiTheme="majorBidi" w:cstheme="majorBidi"/>
                  <w:sz w:val="26"/>
                  <w:szCs w:val="26"/>
                  <w:lang w:bidi="ar-MA"/>
                </w:rPr>
                <w:t>www.hcp.ma</w:t>
              </w:r>
            </w:hyperlink>
          </w:p>
        </w:tc>
      </w:tr>
    </w:tbl>
    <w:p w:rsidR="0047396E" w:rsidRPr="00536E6D" w:rsidRDefault="0047396E" w:rsidP="00EF6AB2">
      <w:pPr>
        <w:widowControl/>
        <w:autoSpaceDE/>
        <w:autoSpaceDN/>
        <w:adjustRightInd/>
        <w:spacing w:line="360" w:lineRule="auto"/>
        <w:jc w:val="both"/>
        <w:rPr>
          <w:rFonts w:asciiTheme="majorBidi" w:hAnsiTheme="majorBidi" w:cstheme="majorBidi"/>
          <w:sz w:val="26"/>
          <w:szCs w:val="26"/>
          <w:rtl/>
          <w:lang w:bidi="ar-MA"/>
        </w:rPr>
        <w:sectPr w:rsidR="0047396E" w:rsidRPr="00536E6D" w:rsidSect="0047396E">
          <w:footerReference w:type="default" r:id="rId15"/>
          <w:pgSz w:w="11906" w:h="16838"/>
          <w:pgMar w:top="1247" w:right="1274" w:bottom="1191" w:left="1276" w:header="567" w:footer="567" w:gutter="0"/>
          <w:cols w:space="708"/>
          <w:docGrid w:linePitch="360"/>
        </w:sectPr>
      </w:pPr>
    </w:p>
    <w:p w:rsidR="00716620" w:rsidRDefault="00716620" w:rsidP="00EF6AB2">
      <w:pPr>
        <w:widowControl/>
        <w:autoSpaceDE/>
        <w:autoSpaceDN/>
        <w:bidi/>
        <w:adjustRightInd/>
        <w:spacing w:after="20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MA"/>
        </w:rPr>
      </w:pPr>
    </w:p>
    <w:p w:rsidR="00391EF2" w:rsidRDefault="0047396E" w:rsidP="00EF6AB2">
      <w:pPr>
        <w:widowControl/>
        <w:autoSpaceDE/>
        <w:autoSpaceDN/>
        <w:bidi/>
        <w:adjustRightInd/>
        <w:spacing w:after="200" w:line="360" w:lineRule="auto"/>
        <w:ind w:firstLine="36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</w:pPr>
      <w:r w:rsidRPr="00DA181A">
        <w:rPr>
          <w:rFonts w:asciiTheme="majorBidi" w:hAnsiTheme="majorBidi" w:cstheme="majorBidi"/>
          <w:b/>
          <w:bCs/>
          <w:sz w:val="28"/>
          <w:szCs w:val="28"/>
          <w:rtl/>
          <w:lang w:bidi="ar-MA"/>
        </w:rPr>
        <w:t>تطور مؤشر الثقة لدى الأسر المغربية ومكوناته</w:t>
      </w:r>
    </w:p>
    <w:tbl>
      <w:tblPr>
        <w:tblW w:w="1548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70"/>
        <w:gridCol w:w="649"/>
        <w:gridCol w:w="514"/>
        <w:gridCol w:w="514"/>
        <w:gridCol w:w="551"/>
        <w:gridCol w:w="553"/>
        <w:gridCol w:w="514"/>
        <w:gridCol w:w="514"/>
        <w:gridCol w:w="514"/>
        <w:gridCol w:w="554"/>
        <w:gridCol w:w="514"/>
        <w:gridCol w:w="514"/>
        <w:gridCol w:w="496"/>
        <w:gridCol w:w="554"/>
        <w:gridCol w:w="515"/>
        <w:gridCol w:w="553"/>
        <w:gridCol w:w="515"/>
        <w:gridCol w:w="518"/>
        <w:gridCol w:w="515"/>
        <w:gridCol w:w="553"/>
        <w:gridCol w:w="553"/>
        <w:gridCol w:w="558"/>
        <w:gridCol w:w="557"/>
        <w:gridCol w:w="553"/>
        <w:gridCol w:w="553"/>
        <w:gridCol w:w="555"/>
        <w:gridCol w:w="1353"/>
        <w:gridCol w:w="7"/>
      </w:tblGrid>
      <w:tr w:rsidR="00684D28" w:rsidRPr="00015F01" w:rsidTr="00684D28">
        <w:trPr>
          <w:trHeight w:val="277"/>
        </w:trPr>
        <w:tc>
          <w:tcPr>
            <w:tcW w:w="1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D28" w:rsidRPr="0060257D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2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2023</w:t>
            </w:r>
          </w:p>
        </w:tc>
        <w:tc>
          <w:tcPr>
            <w:tcW w:w="20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2022</w:t>
            </w:r>
          </w:p>
        </w:tc>
        <w:tc>
          <w:tcPr>
            <w:tcW w:w="2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2021</w:t>
            </w:r>
          </w:p>
        </w:tc>
        <w:tc>
          <w:tcPr>
            <w:tcW w:w="21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2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2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2018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المؤشرات</w:t>
            </w:r>
          </w:p>
        </w:tc>
      </w:tr>
      <w:tr w:rsidR="00684D28" w:rsidRPr="00015F01" w:rsidTr="00684D28">
        <w:trPr>
          <w:gridAfter w:val="1"/>
          <w:wAfter w:w="7" w:type="dxa"/>
          <w:trHeight w:val="27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adjustRightInd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4D28" w:rsidRPr="00015F01" w:rsidTr="00684D28">
        <w:trPr>
          <w:gridAfter w:val="1"/>
          <w:wAfter w:w="7" w:type="dxa"/>
          <w:trHeight w:val="49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684D28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4D2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45,4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46,3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46,6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47,4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50,1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53,7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68,3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75,7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77,8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74,9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79,1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82,5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60257D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257D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مؤشر ثقة الأسر المغربية</w:t>
            </w:r>
          </w:p>
        </w:tc>
      </w:tr>
      <w:tr w:rsidR="00684D28" w:rsidRPr="00015F01" w:rsidTr="00684D28">
        <w:trPr>
          <w:gridAfter w:val="1"/>
          <w:wAfter w:w="7" w:type="dxa"/>
          <w:trHeight w:val="49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-76,2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-77,5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-80,3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-81,9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-80,4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-81,4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-79,6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-83,5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-81,1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-78,3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-69,8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-62,2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-78,3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-75,2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-71,6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-71,8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-76,9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-75,6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-65,2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-61,7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-54,5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التطور المستقبلي للبطالة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-78,2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-78,1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-83,2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-81,5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-84,6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-81,5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-74,6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-66,8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-55,2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-41,5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-50,8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-50,5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-46,6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-35,6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-24,8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-25,4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-13,3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-9,5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-5,4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التطور السابق لمستوى المعيشة بصفة عامة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-46,1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-47,3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-41,7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-43,7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-38,8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-41,6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-34,3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-21,4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9,3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13,2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-17,4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-17,4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-11,4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4,7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11,9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16,6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آفاق تطور مستوى المعيشة بصفة عامة</w:t>
            </w:r>
          </w:p>
        </w:tc>
      </w:tr>
      <w:tr w:rsidR="00684D28" w:rsidRPr="00015F01" w:rsidTr="00684D28">
        <w:trPr>
          <w:gridAfter w:val="1"/>
          <w:wAfter w:w="7" w:type="dxa"/>
          <w:trHeight w:val="49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-69,4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-72,9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-71,5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-68,9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-69,1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-66,7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-62,8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-65,6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-61,6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-61,2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-63,5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-32,6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-29,2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-37,7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-41,4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-36,3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-36,8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-30,2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-25,8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-27,2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فرص اقتناء السلع المستديمة</w:t>
            </w:r>
          </w:p>
        </w:tc>
      </w:tr>
      <w:tr w:rsidR="00684D28" w:rsidRPr="00015F01" w:rsidTr="00684D28">
        <w:trPr>
          <w:gridAfter w:val="1"/>
          <w:wAfter w:w="7" w:type="dxa"/>
          <w:trHeight w:val="49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-40,0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-40,</w:t>
            </w:r>
            <w:r w:rsid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-40,3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-40,2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-41,4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-42,1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-40,9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-42,9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-43,4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-40,4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-36,4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-34,4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-29,1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-31,5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-27,7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-26,4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-29,5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-30,8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-28,9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-28,4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-29,7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-24,1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-25,2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الوضعية المالية الحالية للأسرة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-53,2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-52,7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-56,1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-53,3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-57,3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-57,2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-47,7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-48,7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-50,9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-47,4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-39,9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-22,9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-22,1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-24,2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-21,2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-18,2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-15,2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-18,1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التطور السابق للوضعية المالية للأسرة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-13,9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-13,4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-10,6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-4,6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-0,1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15,1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14,8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-11,9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-4,6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8,5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15,9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18,3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20,7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28,1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التطور المرتقب للوضعية المالية للأسرة</w:t>
            </w:r>
          </w:p>
        </w:tc>
      </w:tr>
      <w:tr w:rsidR="00684D28" w:rsidRPr="00015F01" w:rsidTr="00EC0141">
        <w:trPr>
          <w:trHeight w:val="516"/>
        </w:trPr>
        <w:tc>
          <w:tcPr>
            <w:tcW w:w="15483" w:type="dxa"/>
            <w:gridSpan w:val="2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D28" w:rsidRPr="00CC2AEF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CC2AEF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مؤشرات أخرى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-79,1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-66,2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-67,7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-71,8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-73,6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-74,3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-74,1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-76,3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-67,6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-60,2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-64,6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-68,1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-82,2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-83,3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-86,5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-87,5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-86,6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التطور المرتقب لأسعار المواد الغذائية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-96,0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-96,5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-97,4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-97,9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-98</w:t>
            </w:r>
            <w:r w:rsid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-98,7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-98,8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-99,1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-99,1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-97,9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-95,9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-86,9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-86,8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-74,7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-75,1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-67,6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-82,8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-85,1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-83,7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-88,9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-88,1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-90,3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-88,1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-88,2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-86,7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التطور السابق لأسعار المواد الغذائية</w:t>
            </w:r>
          </w:p>
        </w:tc>
      </w:tr>
      <w:tr w:rsidR="00684D28" w:rsidRPr="00015F01" w:rsidTr="00684D28">
        <w:trPr>
          <w:gridAfter w:val="1"/>
          <w:wAfter w:w="7" w:type="dxa"/>
          <w:trHeight w:val="7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-80,</w:t>
            </w:r>
            <w:r w:rsidR="00CC2AEF"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-81,</w:t>
            </w:r>
            <w:r w:rsid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-80,7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-80,4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-79,4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-76,1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-77,7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-77,3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-72,2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-69,5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-67,2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-60,8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-65,8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-75,1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-70,4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-65,8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-64,5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-64,4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-66,6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-62,9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-64,6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-57,9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CC2AEF" w:rsidRDefault="00684D28" w:rsidP="00EF6AB2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C2A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-54,5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D28" w:rsidRPr="00015F01" w:rsidRDefault="00684D28" w:rsidP="00EF6AB2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15F01">
              <w:rPr>
                <w:rFonts w:ascii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قدرة الأسر على الادخار خلال الأشهر المقبلة</w:t>
            </w:r>
          </w:p>
        </w:tc>
      </w:tr>
    </w:tbl>
    <w:p w:rsidR="00391EF2" w:rsidRPr="00DA181A" w:rsidRDefault="00006809" w:rsidP="00EF6AB2">
      <w:pPr>
        <w:bidi/>
        <w:spacing w:line="360" w:lineRule="auto"/>
        <w:jc w:val="both"/>
        <w:rPr>
          <w:rFonts w:asciiTheme="majorBidi" w:hAnsiTheme="majorBidi" w:cstheme="majorBidi"/>
          <w:sz w:val="18"/>
          <w:szCs w:val="18"/>
          <w:lang w:val="fr-MA" w:bidi="ar-MA"/>
        </w:rPr>
      </w:pP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المصدر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: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المندوبية</w:t>
      </w:r>
      <w:r w:rsidR="00CC2AEF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السامية</w:t>
      </w:r>
      <w:r w:rsidR="00CC2AEF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للتخطيط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>، البح</w:t>
      </w:r>
      <w:r w:rsidRPr="00AC77D8">
        <w:rPr>
          <w:rFonts w:asciiTheme="majorBidi" w:hAnsiTheme="majorBidi" w:cstheme="majorBidi" w:hint="eastAsia"/>
          <w:b/>
          <w:bCs/>
          <w:color w:val="202124"/>
          <w:sz w:val="22"/>
          <w:szCs w:val="22"/>
          <w:rtl/>
        </w:rPr>
        <w:t>ث</w:t>
      </w:r>
      <w:r w:rsidR="00CC2AEF">
        <w:rPr>
          <w:rFonts w:asciiTheme="majorBidi" w:hAnsiTheme="majorBidi" w:cstheme="majorBidi"/>
          <w:b/>
          <w:bCs/>
          <w:color w:val="202124"/>
          <w:sz w:val="22"/>
          <w:szCs w:val="22"/>
        </w:rPr>
        <w:t xml:space="preserve">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الوطني</w:t>
      </w:r>
      <w:r w:rsidRPr="00AC77D8">
        <w:rPr>
          <w:rFonts w:asciiTheme="majorBidi" w:hAnsiTheme="majorBidi" w:cstheme="majorBidi" w:hint="cs"/>
          <w:b/>
          <w:bCs/>
          <w:color w:val="202124"/>
          <w:sz w:val="22"/>
          <w:szCs w:val="22"/>
          <w:rtl/>
        </w:rPr>
        <w:t xml:space="preserve"> الدائم حول </w:t>
      </w:r>
      <w:r w:rsidRPr="00AC77D8">
        <w:rPr>
          <w:rFonts w:asciiTheme="majorBidi" w:hAnsiTheme="majorBidi" w:cstheme="majorBidi"/>
          <w:b/>
          <w:bCs/>
          <w:color w:val="202124"/>
          <w:sz w:val="22"/>
          <w:szCs w:val="22"/>
          <w:rtl/>
        </w:rPr>
        <w:t>الظرفية لدى الأسر</w:t>
      </w:r>
    </w:p>
    <w:sectPr w:rsidR="00391EF2" w:rsidRPr="00DA181A" w:rsidSect="00E335F4">
      <w:pgSz w:w="16838" w:h="11906" w:orient="landscape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DE8" w:rsidRDefault="00F33DE8" w:rsidP="00FB5154">
      <w:r>
        <w:separator/>
      </w:r>
    </w:p>
  </w:endnote>
  <w:endnote w:type="continuationSeparator" w:id="0">
    <w:p w:rsidR="00F33DE8" w:rsidRDefault="00F33DE8" w:rsidP="00FB5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141" w:rsidRDefault="00F27D66">
    <w:pPr>
      <w:pStyle w:val="Pieddepage"/>
      <w:jc w:val="center"/>
    </w:pPr>
    <w:fldSimple w:instr=" PAGE   \* MERGEFORMAT ">
      <w:r w:rsidR="00A05400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DE8" w:rsidRDefault="00F33DE8" w:rsidP="00FB5154">
      <w:r>
        <w:separator/>
      </w:r>
    </w:p>
  </w:footnote>
  <w:footnote w:type="continuationSeparator" w:id="0">
    <w:p w:rsidR="00F33DE8" w:rsidRDefault="00F33DE8" w:rsidP="00FB5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6FEE"/>
    <w:multiLevelType w:val="hybridMultilevel"/>
    <w:tmpl w:val="D5B400E4"/>
    <w:lvl w:ilvl="0" w:tplc="3B72FCD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 w:val="0"/>
        <w:bCs w:val="0"/>
      </w:rPr>
    </w:lvl>
    <w:lvl w:ilvl="1" w:tplc="040C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18B50F6"/>
    <w:multiLevelType w:val="hybridMultilevel"/>
    <w:tmpl w:val="7B2834A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E7449C"/>
    <w:multiLevelType w:val="hybridMultilevel"/>
    <w:tmpl w:val="F3EE99E2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0352B3"/>
    <w:multiLevelType w:val="hybridMultilevel"/>
    <w:tmpl w:val="835265B6"/>
    <w:lvl w:ilvl="0" w:tplc="64BC1742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51335564"/>
    <w:multiLevelType w:val="hybridMultilevel"/>
    <w:tmpl w:val="40FEE506"/>
    <w:lvl w:ilvl="0" w:tplc="040C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64BB2837"/>
    <w:multiLevelType w:val="hybridMultilevel"/>
    <w:tmpl w:val="21A8AF70"/>
    <w:lvl w:ilvl="0" w:tplc="6D2CC2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81E16"/>
    <w:multiLevelType w:val="hybridMultilevel"/>
    <w:tmpl w:val="57CA4E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A56717"/>
    <w:multiLevelType w:val="hybridMultilevel"/>
    <w:tmpl w:val="75165EB6"/>
    <w:lvl w:ilvl="0" w:tplc="FA5E9E30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sz w:val="32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>
    <w:nsid w:val="796616BC"/>
    <w:multiLevelType w:val="hybridMultilevel"/>
    <w:tmpl w:val="BC187EFC"/>
    <w:lvl w:ilvl="0" w:tplc="56428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AF6C0A"/>
    <w:multiLevelType w:val="hybridMultilevel"/>
    <w:tmpl w:val="2020F5B6"/>
    <w:lvl w:ilvl="0" w:tplc="6D2CC28E">
      <w:start w:val="1"/>
      <w:numFmt w:val="decimal"/>
      <w:lvlText w:val="%1"/>
      <w:lvlJc w:val="left"/>
      <w:pPr>
        <w:ind w:left="358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303" w:hanging="360"/>
      </w:pPr>
    </w:lvl>
    <w:lvl w:ilvl="2" w:tplc="040C001B" w:tentative="1">
      <w:start w:val="1"/>
      <w:numFmt w:val="lowerRoman"/>
      <w:lvlText w:val="%3."/>
      <w:lvlJc w:val="right"/>
      <w:pPr>
        <w:ind w:left="5023" w:hanging="180"/>
      </w:pPr>
    </w:lvl>
    <w:lvl w:ilvl="3" w:tplc="040C000F" w:tentative="1">
      <w:start w:val="1"/>
      <w:numFmt w:val="decimal"/>
      <w:lvlText w:val="%4."/>
      <w:lvlJc w:val="left"/>
      <w:pPr>
        <w:ind w:left="5743" w:hanging="360"/>
      </w:pPr>
    </w:lvl>
    <w:lvl w:ilvl="4" w:tplc="040C0019" w:tentative="1">
      <w:start w:val="1"/>
      <w:numFmt w:val="lowerLetter"/>
      <w:lvlText w:val="%5."/>
      <w:lvlJc w:val="left"/>
      <w:pPr>
        <w:ind w:left="6463" w:hanging="360"/>
      </w:pPr>
    </w:lvl>
    <w:lvl w:ilvl="5" w:tplc="040C001B" w:tentative="1">
      <w:start w:val="1"/>
      <w:numFmt w:val="lowerRoman"/>
      <w:lvlText w:val="%6."/>
      <w:lvlJc w:val="right"/>
      <w:pPr>
        <w:ind w:left="7183" w:hanging="180"/>
      </w:pPr>
    </w:lvl>
    <w:lvl w:ilvl="6" w:tplc="040C000F" w:tentative="1">
      <w:start w:val="1"/>
      <w:numFmt w:val="decimal"/>
      <w:lvlText w:val="%7."/>
      <w:lvlJc w:val="left"/>
      <w:pPr>
        <w:ind w:left="7903" w:hanging="360"/>
      </w:pPr>
    </w:lvl>
    <w:lvl w:ilvl="7" w:tplc="040C0019" w:tentative="1">
      <w:start w:val="1"/>
      <w:numFmt w:val="lowerLetter"/>
      <w:lvlText w:val="%8."/>
      <w:lvlJc w:val="left"/>
      <w:pPr>
        <w:ind w:left="8623" w:hanging="360"/>
      </w:pPr>
    </w:lvl>
    <w:lvl w:ilvl="8" w:tplc="040C001B" w:tentative="1">
      <w:start w:val="1"/>
      <w:numFmt w:val="lowerRoman"/>
      <w:lvlText w:val="%9."/>
      <w:lvlJc w:val="right"/>
      <w:pPr>
        <w:ind w:left="9343" w:hanging="180"/>
      </w:pPr>
    </w:lvl>
  </w:abstractNum>
  <w:abstractNum w:abstractNumId="10">
    <w:nsid w:val="7DD520AB"/>
    <w:multiLevelType w:val="hybridMultilevel"/>
    <w:tmpl w:val="7728B6E4"/>
    <w:lvl w:ilvl="0" w:tplc="FA5E9E3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32"/>
      </w:rPr>
    </w:lvl>
    <w:lvl w:ilvl="1" w:tplc="040C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1">
    <w:nsid w:val="7DF73861"/>
    <w:multiLevelType w:val="hybridMultilevel"/>
    <w:tmpl w:val="38AEE9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  <w:num w:numId="11">
    <w:abstractNumId w:val="0"/>
  </w:num>
  <w:num w:numId="12">
    <w:abstractNumId w:val="1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154"/>
    <w:rsid w:val="000008D4"/>
    <w:rsid w:val="00001CFD"/>
    <w:rsid w:val="0000277D"/>
    <w:rsid w:val="00002C4D"/>
    <w:rsid w:val="00003AD0"/>
    <w:rsid w:val="00005383"/>
    <w:rsid w:val="000053B0"/>
    <w:rsid w:val="000055C9"/>
    <w:rsid w:val="00006809"/>
    <w:rsid w:val="00007DB8"/>
    <w:rsid w:val="0001056E"/>
    <w:rsid w:val="00012214"/>
    <w:rsid w:val="000124FB"/>
    <w:rsid w:val="00012F59"/>
    <w:rsid w:val="00013F2C"/>
    <w:rsid w:val="00014615"/>
    <w:rsid w:val="000158E5"/>
    <w:rsid w:val="00015CC3"/>
    <w:rsid w:val="0001642B"/>
    <w:rsid w:val="00016667"/>
    <w:rsid w:val="00017D49"/>
    <w:rsid w:val="00017F39"/>
    <w:rsid w:val="00020B80"/>
    <w:rsid w:val="0002108D"/>
    <w:rsid w:val="000210BB"/>
    <w:rsid w:val="00023B39"/>
    <w:rsid w:val="00023D51"/>
    <w:rsid w:val="00023D5B"/>
    <w:rsid w:val="00023DE3"/>
    <w:rsid w:val="00023FCD"/>
    <w:rsid w:val="00024034"/>
    <w:rsid w:val="00027878"/>
    <w:rsid w:val="00027CE8"/>
    <w:rsid w:val="0003089A"/>
    <w:rsid w:val="00030A33"/>
    <w:rsid w:val="000316DF"/>
    <w:rsid w:val="00031A44"/>
    <w:rsid w:val="00032A33"/>
    <w:rsid w:val="00034D7A"/>
    <w:rsid w:val="000356AC"/>
    <w:rsid w:val="00036A3E"/>
    <w:rsid w:val="00037417"/>
    <w:rsid w:val="000377F1"/>
    <w:rsid w:val="00040601"/>
    <w:rsid w:val="00040872"/>
    <w:rsid w:val="00040A0F"/>
    <w:rsid w:val="0004224D"/>
    <w:rsid w:val="00042B74"/>
    <w:rsid w:val="00043971"/>
    <w:rsid w:val="0004405A"/>
    <w:rsid w:val="000440D5"/>
    <w:rsid w:val="000468D3"/>
    <w:rsid w:val="00046B93"/>
    <w:rsid w:val="000501D5"/>
    <w:rsid w:val="000501F3"/>
    <w:rsid w:val="00050D46"/>
    <w:rsid w:val="00051406"/>
    <w:rsid w:val="000518C5"/>
    <w:rsid w:val="00051FEC"/>
    <w:rsid w:val="00052202"/>
    <w:rsid w:val="000527EB"/>
    <w:rsid w:val="000534A5"/>
    <w:rsid w:val="000548F9"/>
    <w:rsid w:val="00055217"/>
    <w:rsid w:val="00055E17"/>
    <w:rsid w:val="0006156A"/>
    <w:rsid w:val="00061C8E"/>
    <w:rsid w:val="00062597"/>
    <w:rsid w:val="00063E19"/>
    <w:rsid w:val="00063F28"/>
    <w:rsid w:val="000647FE"/>
    <w:rsid w:val="00064F12"/>
    <w:rsid w:val="00065EBF"/>
    <w:rsid w:val="00066304"/>
    <w:rsid w:val="00066D16"/>
    <w:rsid w:val="0006750F"/>
    <w:rsid w:val="00067D74"/>
    <w:rsid w:val="000708EE"/>
    <w:rsid w:val="00073B26"/>
    <w:rsid w:val="00074577"/>
    <w:rsid w:val="0007598E"/>
    <w:rsid w:val="00075E5A"/>
    <w:rsid w:val="00076021"/>
    <w:rsid w:val="000800CE"/>
    <w:rsid w:val="000818E4"/>
    <w:rsid w:val="00081D50"/>
    <w:rsid w:val="00084B8A"/>
    <w:rsid w:val="00086506"/>
    <w:rsid w:val="000874A8"/>
    <w:rsid w:val="000901AE"/>
    <w:rsid w:val="000919FA"/>
    <w:rsid w:val="00092ADE"/>
    <w:rsid w:val="00092D42"/>
    <w:rsid w:val="000933BD"/>
    <w:rsid w:val="00093A05"/>
    <w:rsid w:val="00093CD0"/>
    <w:rsid w:val="00093D6B"/>
    <w:rsid w:val="00093FB7"/>
    <w:rsid w:val="000943DF"/>
    <w:rsid w:val="0009466F"/>
    <w:rsid w:val="00094954"/>
    <w:rsid w:val="00094FF2"/>
    <w:rsid w:val="00095E84"/>
    <w:rsid w:val="00096DF6"/>
    <w:rsid w:val="0009769B"/>
    <w:rsid w:val="000A0912"/>
    <w:rsid w:val="000A0F7B"/>
    <w:rsid w:val="000A1AFF"/>
    <w:rsid w:val="000A258B"/>
    <w:rsid w:val="000A2BE2"/>
    <w:rsid w:val="000A43AB"/>
    <w:rsid w:val="000A456E"/>
    <w:rsid w:val="000A46A4"/>
    <w:rsid w:val="000A60CC"/>
    <w:rsid w:val="000A6343"/>
    <w:rsid w:val="000A7773"/>
    <w:rsid w:val="000A77B0"/>
    <w:rsid w:val="000A79ED"/>
    <w:rsid w:val="000A7DEF"/>
    <w:rsid w:val="000B00E5"/>
    <w:rsid w:val="000B03B2"/>
    <w:rsid w:val="000B04E0"/>
    <w:rsid w:val="000B170F"/>
    <w:rsid w:val="000B1D9C"/>
    <w:rsid w:val="000B3E0B"/>
    <w:rsid w:val="000B4187"/>
    <w:rsid w:val="000B548C"/>
    <w:rsid w:val="000B783E"/>
    <w:rsid w:val="000B7A23"/>
    <w:rsid w:val="000C0C36"/>
    <w:rsid w:val="000C17AC"/>
    <w:rsid w:val="000C1FD6"/>
    <w:rsid w:val="000C24F1"/>
    <w:rsid w:val="000C39A4"/>
    <w:rsid w:val="000C4188"/>
    <w:rsid w:val="000C4CDC"/>
    <w:rsid w:val="000C542A"/>
    <w:rsid w:val="000C56B1"/>
    <w:rsid w:val="000C5963"/>
    <w:rsid w:val="000C59A2"/>
    <w:rsid w:val="000C6ABC"/>
    <w:rsid w:val="000C7397"/>
    <w:rsid w:val="000C7854"/>
    <w:rsid w:val="000D25E7"/>
    <w:rsid w:val="000D34AE"/>
    <w:rsid w:val="000D5E19"/>
    <w:rsid w:val="000D5FAB"/>
    <w:rsid w:val="000D626F"/>
    <w:rsid w:val="000D62D2"/>
    <w:rsid w:val="000D79A1"/>
    <w:rsid w:val="000D7BD5"/>
    <w:rsid w:val="000E0292"/>
    <w:rsid w:val="000E1043"/>
    <w:rsid w:val="000E21B3"/>
    <w:rsid w:val="000E3A3B"/>
    <w:rsid w:val="000E4043"/>
    <w:rsid w:val="000E4965"/>
    <w:rsid w:val="000E4DB6"/>
    <w:rsid w:val="000E598D"/>
    <w:rsid w:val="000F02BA"/>
    <w:rsid w:val="000F0CAB"/>
    <w:rsid w:val="000F1AEF"/>
    <w:rsid w:val="000F1AFE"/>
    <w:rsid w:val="000F2F41"/>
    <w:rsid w:val="000F370F"/>
    <w:rsid w:val="000F3B8E"/>
    <w:rsid w:val="000F499D"/>
    <w:rsid w:val="000F5D92"/>
    <w:rsid w:val="000F62DE"/>
    <w:rsid w:val="000F7102"/>
    <w:rsid w:val="000F7A6C"/>
    <w:rsid w:val="001001D9"/>
    <w:rsid w:val="00101EF8"/>
    <w:rsid w:val="001022C1"/>
    <w:rsid w:val="00102A83"/>
    <w:rsid w:val="0010398A"/>
    <w:rsid w:val="001039B0"/>
    <w:rsid w:val="00105111"/>
    <w:rsid w:val="00105F6E"/>
    <w:rsid w:val="0011034A"/>
    <w:rsid w:val="00111B44"/>
    <w:rsid w:val="00111E47"/>
    <w:rsid w:val="0011409B"/>
    <w:rsid w:val="00114E58"/>
    <w:rsid w:val="00116CCA"/>
    <w:rsid w:val="001200B6"/>
    <w:rsid w:val="001203F7"/>
    <w:rsid w:val="001214F9"/>
    <w:rsid w:val="00121FE4"/>
    <w:rsid w:val="001222CC"/>
    <w:rsid w:val="00122369"/>
    <w:rsid w:val="00122474"/>
    <w:rsid w:val="00122BBD"/>
    <w:rsid w:val="00123D58"/>
    <w:rsid w:val="00123E30"/>
    <w:rsid w:val="00127E48"/>
    <w:rsid w:val="00130F19"/>
    <w:rsid w:val="00131625"/>
    <w:rsid w:val="00132060"/>
    <w:rsid w:val="00132C76"/>
    <w:rsid w:val="00135227"/>
    <w:rsid w:val="00135734"/>
    <w:rsid w:val="00135C3A"/>
    <w:rsid w:val="0013669B"/>
    <w:rsid w:val="00136CFC"/>
    <w:rsid w:val="00136F4E"/>
    <w:rsid w:val="00137B43"/>
    <w:rsid w:val="001417AD"/>
    <w:rsid w:val="00141E9B"/>
    <w:rsid w:val="00143BF2"/>
    <w:rsid w:val="00143D45"/>
    <w:rsid w:val="001451F9"/>
    <w:rsid w:val="001469D2"/>
    <w:rsid w:val="00147008"/>
    <w:rsid w:val="0014738D"/>
    <w:rsid w:val="00147AAF"/>
    <w:rsid w:val="00150840"/>
    <w:rsid w:val="00151435"/>
    <w:rsid w:val="00151CC9"/>
    <w:rsid w:val="001527A3"/>
    <w:rsid w:val="001529FF"/>
    <w:rsid w:val="00153603"/>
    <w:rsid w:val="00155E7E"/>
    <w:rsid w:val="00156FDB"/>
    <w:rsid w:val="001604B1"/>
    <w:rsid w:val="00160CD6"/>
    <w:rsid w:val="001615E7"/>
    <w:rsid w:val="00162F0B"/>
    <w:rsid w:val="00163573"/>
    <w:rsid w:val="00163A7D"/>
    <w:rsid w:val="0016457A"/>
    <w:rsid w:val="001650C7"/>
    <w:rsid w:val="00165B54"/>
    <w:rsid w:val="001669E6"/>
    <w:rsid w:val="00166CF2"/>
    <w:rsid w:val="00167E60"/>
    <w:rsid w:val="00167E87"/>
    <w:rsid w:val="00170761"/>
    <w:rsid w:val="001708BF"/>
    <w:rsid w:val="0017103A"/>
    <w:rsid w:val="00171AFC"/>
    <w:rsid w:val="001730A1"/>
    <w:rsid w:val="00173E32"/>
    <w:rsid w:val="0017460D"/>
    <w:rsid w:val="001747ED"/>
    <w:rsid w:val="00174AA2"/>
    <w:rsid w:val="00176575"/>
    <w:rsid w:val="00176658"/>
    <w:rsid w:val="001767AA"/>
    <w:rsid w:val="001767CD"/>
    <w:rsid w:val="00177108"/>
    <w:rsid w:val="0017770A"/>
    <w:rsid w:val="0018075C"/>
    <w:rsid w:val="0018282E"/>
    <w:rsid w:val="00183556"/>
    <w:rsid w:val="001839B1"/>
    <w:rsid w:val="00183A85"/>
    <w:rsid w:val="00184F9F"/>
    <w:rsid w:val="00185C38"/>
    <w:rsid w:val="0018659E"/>
    <w:rsid w:val="001869AC"/>
    <w:rsid w:val="00190362"/>
    <w:rsid w:val="00190B98"/>
    <w:rsid w:val="00192084"/>
    <w:rsid w:val="0019233D"/>
    <w:rsid w:val="00192991"/>
    <w:rsid w:val="0019443D"/>
    <w:rsid w:val="00194803"/>
    <w:rsid w:val="00195748"/>
    <w:rsid w:val="00196E61"/>
    <w:rsid w:val="00197537"/>
    <w:rsid w:val="00197E28"/>
    <w:rsid w:val="001A02EE"/>
    <w:rsid w:val="001A06F6"/>
    <w:rsid w:val="001A0B0C"/>
    <w:rsid w:val="001A0B75"/>
    <w:rsid w:val="001A0F67"/>
    <w:rsid w:val="001A12E0"/>
    <w:rsid w:val="001A1E4B"/>
    <w:rsid w:val="001A1FBB"/>
    <w:rsid w:val="001A2E0F"/>
    <w:rsid w:val="001A3C7F"/>
    <w:rsid w:val="001A50AC"/>
    <w:rsid w:val="001A6534"/>
    <w:rsid w:val="001A6DC0"/>
    <w:rsid w:val="001B0A37"/>
    <w:rsid w:val="001B288F"/>
    <w:rsid w:val="001B4436"/>
    <w:rsid w:val="001B57AE"/>
    <w:rsid w:val="001B5E1A"/>
    <w:rsid w:val="001B69E0"/>
    <w:rsid w:val="001B775D"/>
    <w:rsid w:val="001B7FB6"/>
    <w:rsid w:val="001C068B"/>
    <w:rsid w:val="001C1DC7"/>
    <w:rsid w:val="001C1ECC"/>
    <w:rsid w:val="001C2E48"/>
    <w:rsid w:val="001C3663"/>
    <w:rsid w:val="001C36A0"/>
    <w:rsid w:val="001C3F6F"/>
    <w:rsid w:val="001C4A0B"/>
    <w:rsid w:val="001C544F"/>
    <w:rsid w:val="001C58AD"/>
    <w:rsid w:val="001C7614"/>
    <w:rsid w:val="001D0651"/>
    <w:rsid w:val="001D0ADA"/>
    <w:rsid w:val="001D0B9C"/>
    <w:rsid w:val="001D0D6A"/>
    <w:rsid w:val="001D25F8"/>
    <w:rsid w:val="001D278A"/>
    <w:rsid w:val="001D288C"/>
    <w:rsid w:val="001D2C5D"/>
    <w:rsid w:val="001D2FA1"/>
    <w:rsid w:val="001D3B53"/>
    <w:rsid w:val="001D6107"/>
    <w:rsid w:val="001D6480"/>
    <w:rsid w:val="001D7239"/>
    <w:rsid w:val="001D7572"/>
    <w:rsid w:val="001E1ECA"/>
    <w:rsid w:val="001E329A"/>
    <w:rsid w:val="001E55D0"/>
    <w:rsid w:val="001E583F"/>
    <w:rsid w:val="001E664F"/>
    <w:rsid w:val="001F08FC"/>
    <w:rsid w:val="001F0A87"/>
    <w:rsid w:val="001F1014"/>
    <w:rsid w:val="001F15AD"/>
    <w:rsid w:val="001F1A58"/>
    <w:rsid w:val="001F1B17"/>
    <w:rsid w:val="001F1EA8"/>
    <w:rsid w:val="001F729D"/>
    <w:rsid w:val="001F7C00"/>
    <w:rsid w:val="002004DC"/>
    <w:rsid w:val="002021C0"/>
    <w:rsid w:val="00202646"/>
    <w:rsid w:val="00203FF9"/>
    <w:rsid w:val="002041DE"/>
    <w:rsid w:val="00204E3E"/>
    <w:rsid w:val="00206A6C"/>
    <w:rsid w:val="00206CBA"/>
    <w:rsid w:val="00207247"/>
    <w:rsid w:val="00207B77"/>
    <w:rsid w:val="00211597"/>
    <w:rsid w:val="002122D0"/>
    <w:rsid w:val="0021249E"/>
    <w:rsid w:val="00213F1E"/>
    <w:rsid w:val="0021515F"/>
    <w:rsid w:val="00215F90"/>
    <w:rsid w:val="0022035B"/>
    <w:rsid w:val="00220BFD"/>
    <w:rsid w:val="00222633"/>
    <w:rsid w:val="00223DD2"/>
    <w:rsid w:val="002244C9"/>
    <w:rsid w:val="00224AC7"/>
    <w:rsid w:val="00224CF5"/>
    <w:rsid w:val="00225ADC"/>
    <w:rsid w:val="00225CC8"/>
    <w:rsid w:val="00225D94"/>
    <w:rsid w:val="00227A99"/>
    <w:rsid w:val="0023068B"/>
    <w:rsid w:val="00232F37"/>
    <w:rsid w:val="002336B9"/>
    <w:rsid w:val="00233FDB"/>
    <w:rsid w:val="0023549A"/>
    <w:rsid w:val="002367BA"/>
    <w:rsid w:val="00237549"/>
    <w:rsid w:val="00237DBD"/>
    <w:rsid w:val="002405A5"/>
    <w:rsid w:val="002419EE"/>
    <w:rsid w:val="002441C7"/>
    <w:rsid w:val="002447B7"/>
    <w:rsid w:val="0024594C"/>
    <w:rsid w:val="0024601E"/>
    <w:rsid w:val="00246AB5"/>
    <w:rsid w:val="002501E1"/>
    <w:rsid w:val="002518F7"/>
    <w:rsid w:val="0025256E"/>
    <w:rsid w:val="00253930"/>
    <w:rsid w:val="002539F4"/>
    <w:rsid w:val="00254A47"/>
    <w:rsid w:val="00254D8C"/>
    <w:rsid w:val="00254F2D"/>
    <w:rsid w:val="00254F5D"/>
    <w:rsid w:val="002550E6"/>
    <w:rsid w:val="00255827"/>
    <w:rsid w:val="00256064"/>
    <w:rsid w:val="00257304"/>
    <w:rsid w:val="002610CC"/>
    <w:rsid w:val="002617FA"/>
    <w:rsid w:val="00262199"/>
    <w:rsid w:val="00262E16"/>
    <w:rsid w:val="0026342E"/>
    <w:rsid w:val="00264143"/>
    <w:rsid w:val="0026423C"/>
    <w:rsid w:val="00264823"/>
    <w:rsid w:val="00264A1F"/>
    <w:rsid w:val="00264AAC"/>
    <w:rsid w:val="002655BD"/>
    <w:rsid w:val="00267246"/>
    <w:rsid w:val="00267C04"/>
    <w:rsid w:val="00271AD5"/>
    <w:rsid w:val="00271D13"/>
    <w:rsid w:val="00271DDA"/>
    <w:rsid w:val="002730D2"/>
    <w:rsid w:val="002731D5"/>
    <w:rsid w:val="0027335D"/>
    <w:rsid w:val="002738F1"/>
    <w:rsid w:val="00274C15"/>
    <w:rsid w:val="00276571"/>
    <w:rsid w:val="00277DAA"/>
    <w:rsid w:val="002804A3"/>
    <w:rsid w:val="002816DB"/>
    <w:rsid w:val="0028283C"/>
    <w:rsid w:val="00282A76"/>
    <w:rsid w:val="002834B8"/>
    <w:rsid w:val="00283F52"/>
    <w:rsid w:val="002844D8"/>
    <w:rsid w:val="0028577F"/>
    <w:rsid w:val="002873D9"/>
    <w:rsid w:val="00287AB0"/>
    <w:rsid w:val="002908FC"/>
    <w:rsid w:val="002909C0"/>
    <w:rsid w:val="00290D24"/>
    <w:rsid w:val="00292AE6"/>
    <w:rsid w:val="00294A82"/>
    <w:rsid w:val="00294D15"/>
    <w:rsid w:val="00295120"/>
    <w:rsid w:val="002A02EA"/>
    <w:rsid w:val="002A07F0"/>
    <w:rsid w:val="002A080C"/>
    <w:rsid w:val="002A0881"/>
    <w:rsid w:val="002A0E57"/>
    <w:rsid w:val="002A2468"/>
    <w:rsid w:val="002A2576"/>
    <w:rsid w:val="002A2E4E"/>
    <w:rsid w:val="002A2F1F"/>
    <w:rsid w:val="002A369A"/>
    <w:rsid w:val="002A44F9"/>
    <w:rsid w:val="002A71C9"/>
    <w:rsid w:val="002B0885"/>
    <w:rsid w:val="002B1580"/>
    <w:rsid w:val="002B1780"/>
    <w:rsid w:val="002B2F02"/>
    <w:rsid w:val="002B3B14"/>
    <w:rsid w:val="002B43C5"/>
    <w:rsid w:val="002B4AC5"/>
    <w:rsid w:val="002B4CA1"/>
    <w:rsid w:val="002B56E7"/>
    <w:rsid w:val="002B5D5E"/>
    <w:rsid w:val="002B6282"/>
    <w:rsid w:val="002B668B"/>
    <w:rsid w:val="002B6E48"/>
    <w:rsid w:val="002B72F5"/>
    <w:rsid w:val="002B7CB7"/>
    <w:rsid w:val="002C315C"/>
    <w:rsid w:val="002C3B75"/>
    <w:rsid w:val="002C3DF6"/>
    <w:rsid w:val="002C41F9"/>
    <w:rsid w:val="002C44BF"/>
    <w:rsid w:val="002C5D78"/>
    <w:rsid w:val="002C7745"/>
    <w:rsid w:val="002D1876"/>
    <w:rsid w:val="002D39D6"/>
    <w:rsid w:val="002D3D04"/>
    <w:rsid w:val="002D4F45"/>
    <w:rsid w:val="002D58E3"/>
    <w:rsid w:val="002D59E5"/>
    <w:rsid w:val="002D5DEF"/>
    <w:rsid w:val="002D649E"/>
    <w:rsid w:val="002D7086"/>
    <w:rsid w:val="002E0ADB"/>
    <w:rsid w:val="002E2CB3"/>
    <w:rsid w:val="002E5376"/>
    <w:rsid w:val="002E6635"/>
    <w:rsid w:val="002E7A4A"/>
    <w:rsid w:val="002F0FB7"/>
    <w:rsid w:val="002F2D71"/>
    <w:rsid w:val="002F3305"/>
    <w:rsid w:val="002F39AB"/>
    <w:rsid w:val="002F3F0E"/>
    <w:rsid w:val="002F5099"/>
    <w:rsid w:val="002F6C71"/>
    <w:rsid w:val="002F7CB7"/>
    <w:rsid w:val="0030041D"/>
    <w:rsid w:val="00300D33"/>
    <w:rsid w:val="00301D35"/>
    <w:rsid w:val="003028BE"/>
    <w:rsid w:val="00303111"/>
    <w:rsid w:val="003033A7"/>
    <w:rsid w:val="00304271"/>
    <w:rsid w:val="00304C66"/>
    <w:rsid w:val="00304F41"/>
    <w:rsid w:val="003054DA"/>
    <w:rsid w:val="00305621"/>
    <w:rsid w:val="00305668"/>
    <w:rsid w:val="00306A01"/>
    <w:rsid w:val="00306B5B"/>
    <w:rsid w:val="0030712F"/>
    <w:rsid w:val="0030785C"/>
    <w:rsid w:val="00307A5B"/>
    <w:rsid w:val="00310353"/>
    <w:rsid w:val="003123A4"/>
    <w:rsid w:val="003129C4"/>
    <w:rsid w:val="0031379F"/>
    <w:rsid w:val="00313AB9"/>
    <w:rsid w:val="00313C4F"/>
    <w:rsid w:val="00313D8D"/>
    <w:rsid w:val="00313DAF"/>
    <w:rsid w:val="0031641F"/>
    <w:rsid w:val="00316A54"/>
    <w:rsid w:val="0032032C"/>
    <w:rsid w:val="003211BC"/>
    <w:rsid w:val="00321810"/>
    <w:rsid w:val="00323553"/>
    <w:rsid w:val="00323EF8"/>
    <w:rsid w:val="0032715A"/>
    <w:rsid w:val="0033012D"/>
    <w:rsid w:val="003304BC"/>
    <w:rsid w:val="00330B2D"/>
    <w:rsid w:val="00331F00"/>
    <w:rsid w:val="003321E4"/>
    <w:rsid w:val="003325D6"/>
    <w:rsid w:val="003327D6"/>
    <w:rsid w:val="0033483C"/>
    <w:rsid w:val="00334865"/>
    <w:rsid w:val="00334D0F"/>
    <w:rsid w:val="0033541B"/>
    <w:rsid w:val="00335964"/>
    <w:rsid w:val="00336AC7"/>
    <w:rsid w:val="00340446"/>
    <w:rsid w:val="00340AA6"/>
    <w:rsid w:val="0034158E"/>
    <w:rsid w:val="00341A12"/>
    <w:rsid w:val="00342122"/>
    <w:rsid w:val="00342635"/>
    <w:rsid w:val="00342898"/>
    <w:rsid w:val="00343D5A"/>
    <w:rsid w:val="003441CD"/>
    <w:rsid w:val="003459CD"/>
    <w:rsid w:val="00346369"/>
    <w:rsid w:val="00346F4B"/>
    <w:rsid w:val="0034727A"/>
    <w:rsid w:val="003505A4"/>
    <w:rsid w:val="0035206B"/>
    <w:rsid w:val="003526E0"/>
    <w:rsid w:val="0035293A"/>
    <w:rsid w:val="00353952"/>
    <w:rsid w:val="003549B7"/>
    <w:rsid w:val="00355DE2"/>
    <w:rsid w:val="00356465"/>
    <w:rsid w:val="00357020"/>
    <w:rsid w:val="00360807"/>
    <w:rsid w:val="00361074"/>
    <w:rsid w:val="00362483"/>
    <w:rsid w:val="0036388B"/>
    <w:rsid w:val="003639B6"/>
    <w:rsid w:val="00363FED"/>
    <w:rsid w:val="003652A5"/>
    <w:rsid w:val="00365421"/>
    <w:rsid w:val="0036634B"/>
    <w:rsid w:val="0036643E"/>
    <w:rsid w:val="0036683F"/>
    <w:rsid w:val="0036731F"/>
    <w:rsid w:val="003708C3"/>
    <w:rsid w:val="00370FBF"/>
    <w:rsid w:val="003731F3"/>
    <w:rsid w:val="00373CA1"/>
    <w:rsid w:val="003748E7"/>
    <w:rsid w:val="003764DE"/>
    <w:rsid w:val="00377363"/>
    <w:rsid w:val="003774FD"/>
    <w:rsid w:val="0037790B"/>
    <w:rsid w:val="003810D0"/>
    <w:rsid w:val="003813FC"/>
    <w:rsid w:val="00381B13"/>
    <w:rsid w:val="00381EC8"/>
    <w:rsid w:val="003832F7"/>
    <w:rsid w:val="00385EA8"/>
    <w:rsid w:val="003866C9"/>
    <w:rsid w:val="003875BA"/>
    <w:rsid w:val="00387B6D"/>
    <w:rsid w:val="003906C0"/>
    <w:rsid w:val="0039103E"/>
    <w:rsid w:val="003915CF"/>
    <w:rsid w:val="00391EF2"/>
    <w:rsid w:val="00392A21"/>
    <w:rsid w:val="0039544A"/>
    <w:rsid w:val="003967FD"/>
    <w:rsid w:val="00397340"/>
    <w:rsid w:val="0039764C"/>
    <w:rsid w:val="0039767C"/>
    <w:rsid w:val="00397951"/>
    <w:rsid w:val="003A008A"/>
    <w:rsid w:val="003A1537"/>
    <w:rsid w:val="003A2E50"/>
    <w:rsid w:val="003A5AEE"/>
    <w:rsid w:val="003A6AAA"/>
    <w:rsid w:val="003B0304"/>
    <w:rsid w:val="003B48EE"/>
    <w:rsid w:val="003B50A3"/>
    <w:rsid w:val="003B658A"/>
    <w:rsid w:val="003B6952"/>
    <w:rsid w:val="003B758F"/>
    <w:rsid w:val="003C03A4"/>
    <w:rsid w:val="003C08DE"/>
    <w:rsid w:val="003C18CC"/>
    <w:rsid w:val="003C1BB4"/>
    <w:rsid w:val="003C1E02"/>
    <w:rsid w:val="003C1FDE"/>
    <w:rsid w:val="003C3C0C"/>
    <w:rsid w:val="003C41F4"/>
    <w:rsid w:val="003C525A"/>
    <w:rsid w:val="003C5A97"/>
    <w:rsid w:val="003C6FDB"/>
    <w:rsid w:val="003D2472"/>
    <w:rsid w:val="003D2F3E"/>
    <w:rsid w:val="003D3E83"/>
    <w:rsid w:val="003D6572"/>
    <w:rsid w:val="003D76CB"/>
    <w:rsid w:val="003D7AF5"/>
    <w:rsid w:val="003E0407"/>
    <w:rsid w:val="003E0E5B"/>
    <w:rsid w:val="003E2375"/>
    <w:rsid w:val="003E2DE1"/>
    <w:rsid w:val="003E37B6"/>
    <w:rsid w:val="003E4E24"/>
    <w:rsid w:val="003E7980"/>
    <w:rsid w:val="003F0041"/>
    <w:rsid w:val="003F10A2"/>
    <w:rsid w:val="003F16A4"/>
    <w:rsid w:val="003F2F10"/>
    <w:rsid w:val="003F35F7"/>
    <w:rsid w:val="003F4456"/>
    <w:rsid w:val="003F4E59"/>
    <w:rsid w:val="003F70AC"/>
    <w:rsid w:val="004002BC"/>
    <w:rsid w:val="00401AE2"/>
    <w:rsid w:val="00403022"/>
    <w:rsid w:val="00403792"/>
    <w:rsid w:val="00406DA7"/>
    <w:rsid w:val="0040708A"/>
    <w:rsid w:val="0041124B"/>
    <w:rsid w:val="0041230B"/>
    <w:rsid w:val="00412C17"/>
    <w:rsid w:val="004137F0"/>
    <w:rsid w:val="00413913"/>
    <w:rsid w:val="00414F76"/>
    <w:rsid w:val="00416B31"/>
    <w:rsid w:val="00417038"/>
    <w:rsid w:val="00417BC7"/>
    <w:rsid w:val="004221A9"/>
    <w:rsid w:val="00422447"/>
    <w:rsid w:val="00422C2D"/>
    <w:rsid w:val="00424701"/>
    <w:rsid w:val="00424A6C"/>
    <w:rsid w:val="004259DA"/>
    <w:rsid w:val="00426888"/>
    <w:rsid w:val="00430329"/>
    <w:rsid w:val="00430D3F"/>
    <w:rsid w:val="004317A2"/>
    <w:rsid w:val="0043213C"/>
    <w:rsid w:val="00432805"/>
    <w:rsid w:val="004335D4"/>
    <w:rsid w:val="00434B75"/>
    <w:rsid w:val="00435BD5"/>
    <w:rsid w:val="00435F3C"/>
    <w:rsid w:val="00436324"/>
    <w:rsid w:val="004367B3"/>
    <w:rsid w:val="00440B2C"/>
    <w:rsid w:val="004414E7"/>
    <w:rsid w:val="00441C14"/>
    <w:rsid w:val="004426C4"/>
    <w:rsid w:val="004451EA"/>
    <w:rsid w:val="00446004"/>
    <w:rsid w:val="004479A1"/>
    <w:rsid w:val="00447F5A"/>
    <w:rsid w:val="0045337F"/>
    <w:rsid w:val="00453689"/>
    <w:rsid w:val="00453863"/>
    <w:rsid w:val="00453B93"/>
    <w:rsid w:val="00454190"/>
    <w:rsid w:val="0045623F"/>
    <w:rsid w:val="00456931"/>
    <w:rsid w:val="0045696E"/>
    <w:rsid w:val="00456B08"/>
    <w:rsid w:val="00457685"/>
    <w:rsid w:val="004602BE"/>
    <w:rsid w:val="0046035D"/>
    <w:rsid w:val="00461D1C"/>
    <w:rsid w:val="004627A2"/>
    <w:rsid w:val="00462835"/>
    <w:rsid w:val="00462C5B"/>
    <w:rsid w:val="00464BE4"/>
    <w:rsid w:val="004662C1"/>
    <w:rsid w:val="0046693A"/>
    <w:rsid w:val="00466D3A"/>
    <w:rsid w:val="00467660"/>
    <w:rsid w:val="004708FB"/>
    <w:rsid w:val="0047185F"/>
    <w:rsid w:val="004719B5"/>
    <w:rsid w:val="00472129"/>
    <w:rsid w:val="00472DBD"/>
    <w:rsid w:val="00472F8A"/>
    <w:rsid w:val="004733A6"/>
    <w:rsid w:val="0047396E"/>
    <w:rsid w:val="00473FD4"/>
    <w:rsid w:val="004744D0"/>
    <w:rsid w:val="004749DE"/>
    <w:rsid w:val="004762FA"/>
    <w:rsid w:val="00476366"/>
    <w:rsid w:val="004766CA"/>
    <w:rsid w:val="00476C9E"/>
    <w:rsid w:val="00476E69"/>
    <w:rsid w:val="004776ED"/>
    <w:rsid w:val="0048029E"/>
    <w:rsid w:val="00480CA5"/>
    <w:rsid w:val="0048182B"/>
    <w:rsid w:val="00481EFE"/>
    <w:rsid w:val="00482067"/>
    <w:rsid w:val="00483BE9"/>
    <w:rsid w:val="00485521"/>
    <w:rsid w:val="00485763"/>
    <w:rsid w:val="00486233"/>
    <w:rsid w:val="00486B09"/>
    <w:rsid w:val="00486B84"/>
    <w:rsid w:val="00491C16"/>
    <w:rsid w:val="00491FC0"/>
    <w:rsid w:val="00492F39"/>
    <w:rsid w:val="00495FCB"/>
    <w:rsid w:val="00496B43"/>
    <w:rsid w:val="0049768C"/>
    <w:rsid w:val="00497946"/>
    <w:rsid w:val="004A0337"/>
    <w:rsid w:val="004A0A68"/>
    <w:rsid w:val="004A0D10"/>
    <w:rsid w:val="004A0F0D"/>
    <w:rsid w:val="004A1A98"/>
    <w:rsid w:val="004A1D3D"/>
    <w:rsid w:val="004A2939"/>
    <w:rsid w:val="004A300A"/>
    <w:rsid w:val="004A321B"/>
    <w:rsid w:val="004A5633"/>
    <w:rsid w:val="004A5752"/>
    <w:rsid w:val="004A5F8A"/>
    <w:rsid w:val="004B10C3"/>
    <w:rsid w:val="004B2B17"/>
    <w:rsid w:val="004B2CF6"/>
    <w:rsid w:val="004B448E"/>
    <w:rsid w:val="004B47BC"/>
    <w:rsid w:val="004B5740"/>
    <w:rsid w:val="004B5A7B"/>
    <w:rsid w:val="004B5F68"/>
    <w:rsid w:val="004B6AF1"/>
    <w:rsid w:val="004B79A9"/>
    <w:rsid w:val="004C1865"/>
    <w:rsid w:val="004C2E15"/>
    <w:rsid w:val="004C2E3C"/>
    <w:rsid w:val="004C3136"/>
    <w:rsid w:val="004C5AD7"/>
    <w:rsid w:val="004C7F37"/>
    <w:rsid w:val="004C7FE4"/>
    <w:rsid w:val="004D0015"/>
    <w:rsid w:val="004D03B3"/>
    <w:rsid w:val="004D0C77"/>
    <w:rsid w:val="004D10A3"/>
    <w:rsid w:val="004D12B5"/>
    <w:rsid w:val="004D2C07"/>
    <w:rsid w:val="004D3675"/>
    <w:rsid w:val="004D3AC3"/>
    <w:rsid w:val="004D4F3C"/>
    <w:rsid w:val="004D5745"/>
    <w:rsid w:val="004D5AEC"/>
    <w:rsid w:val="004E0811"/>
    <w:rsid w:val="004E102A"/>
    <w:rsid w:val="004E3A59"/>
    <w:rsid w:val="004E426A"/>
    <w:rsid w:val="004E4DF1"/>
    <w:rsid w:val="004E5F17"/>
    <w:rsid w:val="004E6D10"/>
    <w:rsid w:val="004E6F49"/>
    <w:rsid w:val="004E7AA1"/>
    <w:rsid w:val="004E7FFB"/>
    <w:rsid w:val="004F094D"/>
    <w:rsid w:val="004F1F8A"/>
    <w:rsid w:val="004F45E4"/>
    <w:rsid w:val="004F4677"/>
    <w:rsid w:val="004F6E4F"/>
    <w:rsid w:val="004F721F"/>
    <w:rsid w:val="00500767"/>
    <w:rsid w:val="00500AA9"/>
    <w:rsid w:val="005011E5"/>
    <w:rsid w:val="00502046"/>
    <w:rsid w:val="005034E0"/>
    <w:rsid w:val="00504DDB"/>
    <w:rsid w:val="00505491"/>
    <w:rsid w:val="005059EA"/>
    <w:rsid w:val="00506AE4"/>
    <w:rsid w:val="00510209"/>
    <w:rsid w:val="00510502"/>
    <w:rsid w:val="005116B4"/>
    <w:rsid w:val="00512D03"/>
    <w:rsid w:val="00513331"/>
    <w:rsid w:val="00513A07"/>
    <w:rsid w:val="00513CDE"/>
    <w:rsid w:val="00514628"/>
    <w:rsid w:val="005148C5"/>
    <w:rsid w:val="00515511"/>
    <w:rsid w:val="00516647"/>
    <w:rsid w:val="0051667C"/>
    <w:rsid w:val="0051752F"/>
    <w:rsid w:val="00517538"/>
    <w:rsid w:val="005226E3"/>
    <w:rsid w:val="00523386"/>
    <w:rsid w:val="00524451"/>
    <w:rsid w:val="005249D8"/>
    <w:rsid w:val="005268BB"/>
    <w:rsid w:val="00526C1E"/>
    <w:rsid w:val="0052708E"/>
    <w:rsid w:val="00527F86"/>
    <w:rsid w:val="00530DA5"/>
    <w:rsid w:val="00530FFD"/>
    <w:rsid w:val="005332F6"/>
    <w:rsid w:val="00533E6F"/>
    <w:rsid w:val="005361FA"/>
    <w:rsid w:val="00536E6D"/>
    <w:rsid w:val="005370AD"/>
    <w:rsid w:val="00537B2F"/>
    <w:rsid w:val="005407A5"/>
    <w:rsid w:val="0054173D"/>
    <w:rsid w:val="005417F0"/>
    <w:rsid w:val="00542E22"/>
    <w:rsid w:val="00542E8A"/>
    <w:rsid w:val="0054372D"/>
    <w:rsid w:val="0054396F"/>
    <w:rsid w:val="00543D43"/>
    <w:rsid w:val="005444F6"/>
    <w:rsid w:val="00544648"/>
    <w:rsid w:val="00545871"/>
    <w:rsid w:val="005461C7"/>
    <w:rsid w:val="0054625D"/>
    <w:rsid w:val="00546BFA"/>
    <w:rsid w:val="00546F50"/>
    <w:rsid w:val="0055190C"/>
    <w:rsid w:val="00551BD7"/>
    <w:rsid w:val="0055314A"/>
    <w:rsid w:val="0055413F"/>
    <w:rsid w:val="00554D00"/>
    <w:rsid w:val="00556966"/>
    <w:rsid w:val="0055746E"/>
    <w:rsid w:val="00557807"/>
    <w:rsid w:val="005607B0"/>
    <w:rsid w:val="00561537"/>
    <w:rsid w:val="00561C13"/>
    <w:rsid w:val="0056293A"/>
    <w:rsid w:val="00563D30"/>
    <w:rsid w:val="00564C62"/>
    <w:rsid w:val="00566189"/>
    <w:rsid w:val="005668CF"/>
    <w:rsid w:val="00567F91"/>
    <w:rsid w:val="005704C2"/>
    <w:rsid w:val="0057089E"/>
    <w:rsid w:val="00570A60"/>
    <w:rsid w:val="00571444"/>
    <w:rsid w:val="00572C45"/>
    <w:rsid w:val="00572F22"/>
    <w:rsid w:val="0057415A"/>
    <w:rsid w:val="00576788"/>
    <w:rsid w:val="005768CE"/>
    <w:rsid w:val="005776A9"/>
    <w:rsid w:val="005810E2"/>
    <w:rsid w:val="005819DD"/>
    <w:rsid w:val="00581E57"/>
    <w:rsid w:val="00583400"/>
    <w:rsid w:val="00584D23"/>
    <w:rsid w:val="00586D13"/>
    <w:rsid w:val="00586DD9"/>
    <w:rsid w:val="00586FD6"/>
    <w:rsid w:val="00587280"/>
    <w:rsid w:val="00587D10"/>
    <w:rsid w:val="00587DC3"/>
    <w:rsid w:val="0059004C"/>
    <w:rsid w:val="005901D8"/>
    <w:rsid w:val="005901F4"/>
    <w:rsid w:val="00591390"/>
    <w:rsid w:val="0059222A"/>
    <w:rsid w:val="0059278D"/>
    <w:rsid w:val="00592D04"/>
    <w:rsid w:val="00594339"/>
    <w:rsid w:val="00594830"/>
    <w:rsid w:val="00596AB7"/>
    <w:rsid w:val="0059711C"/>
    <w:rsid w:val="00597787"/>
    <w:rsid w:val="00597C7F"/>
    <w:rsid w:val="005A0430"/>
    <w:rsid w:val="005A142C"/>
    <w:rsid w:val="005A1B82"/>
    <w:rsid w:val="005A1CB8"/>
    <w:rsid w:val="005A21E2"/>
    <w:rsid w:val="005A2385"/>
    <w:rsid w:val="005A2D0A"/>
    <w:rsid w:val="005A45B7"/>
    <w:rsid w:val="005A4C7C"/>
    <w:rsid w:val="005A640C"/>
    <w:rsid w:val="005A7C02"/>
    <w:rsid w:val="005A7C72"/>
    <w:rsid w:val="005B1C7E"/>
    <w:rsid w:val="005B30C2"/>
    <w:rsid w:val="005B475A"/>
    <w:rsid w:val="005B5D9B"/>
    <w:rsid w:val="005B6985"/>
    <w:rsid w:val="005B69FE"/>
    <w:rsid w:val="005B6F4E"/>
    <w:rsid w:val="005C100E"/>
    <w:rsid w:val="005C15BB"/>
    <w:rsid w:val="005C1C08"/>
    <w:rsid w:val="005C23D9"/>
    <w:rsid w:val="005C24BD"/>
    <w:rsid w:val="005C311A"/>
    <w:rsid w:val="005C36E7"/>
    <w:rsid w:val="005C3C2D"/>
    <w:rsid w:val="005C3E33"/>
    <w:rsid w:val="005C4E3B"/>
    <w:rsid w:val="005C7210"/>
    <w:rsid w:val="005C7953"/>
    <w:rsid w:val="005C79C5"/>
    <w:rsid w:val="005D21DC"/>
    <w:rsid w:val="005D2CBE"/>
    <w:rsid w:val="005D3E17"/>
    <w:rsid w:val="005D51CA"/>
    <w:rsid w:val="005E13A1"/>
    <w:rsid w:val="005E1EDC"/>
    <w:rsid w:val="005E2333"/>
    <w:rsid w:val="005E30B1"/>
    <w:rsid w:val="005E4263"/>
    <w:rsid w:val="005E53EE"/>
    <w:rsid w:val="005E570A"/>
    <w:rsid w:val="005E7265"/>
    <w:rsid w:val="005E75B8"/>
    <w:rsid w:val="005E7DB3"/>
    <w:rsid w:val="005F04D0"/>
    <w:rsid w:val="005F0E53"/>
    <w:rsid w:val="005F0E73"/>
    <w:rsid w:val="005F0ED8"/>
    <w:rsid w:val="005F4016"/>
    <w:rsid w:val="005F42BA"/>
    <w:rsid w:val="005F4C0B"/>
    <w:rsid w:val="005F5895"/>
    <w:rsid w:val="005F6D36"/>
    <w:rsid w:val="005F704D"/>
    <w:rsid w:val="005F7B80"/>
    <w:rsid w:val="005F7F29"/>
    <w:rsid w:val="0060024A"/>
    <w:rsid w:val="00601E92"/>
    <w:rsid w:val="006024F0"/>
    <w:rsid w:val="00602E19"/>
    <w:rsid w:val="00607B45"/>
    <w:rsid w:val="00611033"/>
    <w:rsid w:val="00611AA3"/>
    <w:rsid w:val="00611F15"/>
    <w:rsid w:val="006128D5"/>
    <w:rsid w:val="00612F7A"/>
    <w:rsid w:val="00614661"/>
    <w:rsid w:val="00615993"/>
    <w:rsid w:val="00620802"/>
    <w:rsid w:val="00620AB8"/>
    <w:rsid w:val="00621804"/>
    <w:rsid w:val="006225D1"/>
    <w:rsid w:val="00622A3A"/>
    <w:rsid w:val="00622D42"/>
    <w:rsid w:val="006259C3"/>
    <w:rsid w:val="0062655E"/>
    <w:rsid w:val="00627259"/>
    <w:rsid w:val="00630E9E"/>
    <w:rsid w:val="00631571"/>
    <w:rsid w:val="00631AF4"/>
    <w:rsid w:val="00632165"/>
    <w:rsid w:val="0063275B"/>
    <w:rsid w:val="00632A0D"/>
    <w:rsid w:val="00632BA8"/>
    <w:rsid w:val="00632C2B"/>
    <w:rsid w:val="00634D0A"/>
    <w:rsid w:val="00636446"/>
    <w:rsid w:val="0063796C"/>
    <w:rsid w:val="00637DBD"/>
    <w:rsid w:val="00642D3C"/>
    <w:rsid w:val="00642F6E"/>
    <w:rsid w:val="0064366A"/>
    <w:rsid w:val="00643A94"/>
    <w:rsid w:val="00643DBC"/>
    <w:rsid w:val="006463D8"/>
    <w:rsid w:val="0064755C"/>
    <w:rsid w:val="006500BA"/>
    <w:rsid w:val="00652E79"/>
    <w:rsid w:val="00653D9A"/>
    <w:rsid w:val="0065679A"/>
    <w:rsid w:val="0065777E"/>
    <w:rsid w:val="00657AAF"/>
    <w:rsid w:val="00660179"/>
    <w:rsid w:val="0066183D"/>
    <w:rsid w:val="006620AA"/>
    <w:rsid w:val="00663D65"/>
    <w:rsid w:val="006645A4"/>
    <w:rsid w:val="00664B34"/>
    <w:rsid w:val="00665595"/>
    <w:rsid w:val="006656D8"/>
    <w:rsid w:val="00667AB1"/>
    <w:rsid w:val="00667F70"/>
    <w:rsid w:val="00670340"/>
    <w:rsid w:val="006705DD"/>
    <w:rsid w:val="0067071E"/>
    <w:rsid w:val="00671C4B"/>
    <w:rsid w:val="00680044"/>
    <w:rsid w:val="0068038B"/>
    <w:rsid w:val="006809E3"/>
    <w:rsid w:val="00681042"/>
    <w:rsid w:val="0068132A"/>
    <w:rsid w:val="00682679"/>
    <w:rsid w:val="00682F97"/>
    <w:rsid w:val="00684D28"/>
    <w:rsid w:val="00685317"/>
    <w:rsid w:val="00685E30"/>
    <w:rsid w:val="00687E05"/>
    <w:rsid w:val="006923FE"/>
    <w:rsid w:val="00693796"/>
    <w:rsid w:val="006937A8"/>
    <w:rsid w:val="006938A6"/>
    <w:rsid w:val="00694905"/>
    <w:rsid w:val="0069557F"/>
    <w:rsid w:val="00695597"/>
    <w:rsid w:val="00696CBF"/>
    <w:rsid w:val="00697BCD"/>
    <w:rsid w:val="00697FEE"/>
    <w:rsid w:val="006A019B"/>
    <w:rsid w:val="006A0FD3"/>
    <w:rsid w:val="006A1177"/>
    <w:rsid w:val="006A17DF"/>
    <w:rsid w:val="006A600B"/>
    <w:rsid w:val="006A64D4"/>
    <w:rsid w:val="006A6DA5"/>
    <w:rsid w:val="006A752D"/>
    <w:rsid w:val="006B076D"/>
    <w:rsid w:val="006B1374"/>
    <w:rsid w:val="006B15AB"/>
    <w:rsid w:val="006B1887"/>
    <w:rsid w:val="006B1F26"/>
    <w:rsid w:val="006B2192"/>
    <w:rsid w:val="006B5175"/>
    <w:rsid w:val="006B6034"/>
    <w:rsid w:val="006B7121"/>
    <w:rsid w:val="006B7866"/>
    <w:rsid w:val="006B7D9F"/>
    <w:rsid w:val="006C09D5"/>
    <w:rsid w:val="006C2E02"/>
    <w:rsid w:val="006C6538"/>
    <w:rsid w:val="006C6950"/>
    <w:rsid w:val="006C6C31"/>
    <w:rsid w:val="006D03A6"/>
    <w:rsid w:val="006D060F"/>
    <w:rsid w:val="006D1A39"/>
    <w:rsid w:val="006D2622"/>
    <w:rsid w:val="006D32C4"/>
    <w:rsid w:val="006D449E"/>
    <w:rsid w:val="006D45F0"/>
    <w:rsid w:val="006D4E2E"/>
    <w:rsid w:val="006D54BD"/>
    <w:rsid w:val="006D5E23"/>
    <w:rsid w:val="006D61DB"/>
    <w:rsid w:val="006D7C61"/>
    <w:rsid w:val="006E0B7B"/>
    <w:rsid w:val="006E351F"/>
    <w:rsid w:val="006E4001"/>
    <w:rsid w:val="006E428F"/>
    <w:rsid w:val="006E4D83"/>
    <w:rsid w:val="006E4F29"/>
    <w:rsid w:val="006E5675"/>
    <w:rsid w:val="006F11AF"/>
    <w:rsid w:val="006F2166"/>
    <w:rsid w:val="006F2FF4"/>
    <w:rsid w:val="006F6164"/>
    <w:rsid w:val="006F7FF2"/>
    <w:rsid w:val="00700AC9"/>
    <w:rsid w:val="00701282"/>
    <w:rsid w:val="00701722"/>
    <w:rsid w:val="00703144"/>
    <w:rsid w:val="00703299"/>
    <w:rsid w:val="00703C64"/>
    <w:rsid w:val="00703D9D"/>
    <w:rsid w:val="00704B0E"/>
    <w:rsid w:val="00707C3E"/>
    <w:rsid w:val="0071072C"/>
    <w:rsid w:val="00711669"/>
    <w:rsid w:val="00711A50"/>
    <w:rsid w:val="00712CE2"/>
    <w:rsid w:val="007133AB"/>
    <w:rsid w:val="0071371E"/>
    <w:rsid w:val="00713AEA"/>
    <w:rsid w:val="00714F2C"/>
    <w:rsid w:val="00716460"/>
    <w:rsid w:val="00716620"/>
    <w:rsid w:val="00717898"/>
    <w:rsid w:val="0072041A"/>
    <w:rsid w:val="00720D19"/>
    <w:rsid w:val="00721002"/>
    <w:rsid w:val="00721B56"/>
    <w:rsid w:val="00722111"/>
    <w:rsid w:val="00722495"/>
    <w:rsid w:val="00722B36"/>
    <w:rsid w:val="007249BA"/>
    <w:rsid w:val="00725118"/>
    <w:rsid w:val="00726AA8"/>
    <w:rsid w:val="00727EE4"/>
    <w:rsid w:val="0073188D"/>
    <w:rsid w:val="00731C5E"/>
    <w:rsid w:val="00732540"/>
    <w:rsid w:val="00732867"/>
    <w:rsid w:val="00732DCF"/>
    <w:rsid w:val="00733628"/>
    <w:rsid w:val="00734212"/>
    <w:rsid w:val="00735E42"/>
    <w:rsid w:val="007378C8"/>
    <w:rsid w:val="0074287F"/>
    <w:rsid w:val="0074437E"/>
    <w:rsid w:val="00745BD3"/>
    <w:rsid w:val="0074631B"/>
    <w:rsid w:val="007464E3"/>
    <w:rsid w:val="00750142"/>
    <w:rsid w:val="00750690"/>
    <w:rsid w:val="0075104C"/>
    <w:rsid w:val="0075170A"/>
    <w:rsid w:val="00751DD8"/>
    <w:rsid w:val="00751E8B"/>
    <w:rsid w:val="00755B45"/>
    <w:rsid w:val="00757C27"/>
    <w:rsid w:val="0076021D"/>
    <w:rsid w:val="0076084A"/>
    <w:rsid w:val="00761563"/>
    <w:rsid w:val="0076230F"/>
    <w:rsid w:val="007639BE"/>
    <w:rsid w:val="00763AE8"/>
    <w:rsid w:val="0076463C"/>
    <w:rsid w:val="00765C12"/>
    <w:rsid w:val="00766D96"/>
    <w:rsid w:val="00767BD9"/>
    <w:rsid w:val="00770467"/>
    <w:rsid w:val="00770A6D"/>
    <w:rsid w:val="0077217F"/>
    <w:rsid w:val="0077288B"/>
    <w:rsid w:val="0077354D"/>
    <w:rsid w:val="00773A39"/>
    <w:rsid w:val="00775D3A"/>
    <w:rsid w:val="00777103"/>
    <w:rsid w:val="00780289"/>
    <w:rsid w:val="0078250A"/>
    <w:rsid w:val="00782A39"/>
    <w:rsid w:val="00782FD5"/>
    <w:rsid w:val="0078374D"/>
    <w:rsid w:val="00783E75"/>
    <w:rsid w:val="00784237"/>
    <w:rsid w:val="00784349"/>
    <w:rsid w:val="00786765"/>
    <w:rsid w:val="00787065"/>
    <w:rsid w:val="0079294D"/>
    <w:rsid w:val="007931A2"/>
    <w:rsid w:val="00793D4F"/>
    <w:rsid w:val="007946D8"/>
    <w:rsid w:val="00795089"/>
    <w:rsid w:val="00795EDD"/>
    <w:rsid w:val="00796424"/>
    <w:rsid w:val="00796A15"/>
    <w:rsid w:val="00796ABF"/>
    <w:rsid w:val="00797092"/>
    <w:rsid w:val="007A1F39"/>
    <w:rsid w:val="007A2963"/>
    <w:rsid w:val="007A5E82"/>
    <w:rsid w:val="007A5ECA"/>
    <w:rsid w:val="007A6005"/>
    <w:rsid w:val="007A6EC8"/>
    <w:rsid w:val="007A7B5F"/>
    <w:rsid w:val="007B06C6"/>
    <w:rsid w:val="007B105D"/>
    <w:rsid w:val="007B1243"/>
    <w:rsid w:val="007B1BB0"/>
    <w:rsid w:val="007B2624"/>
    <w:rsid w:val="007B278D"/>
    <w:rsid w:val="007B3646"/>
    <w:rsid w:val="007B47F2"/>
    <w:rsid w:val="007B5275"/>
    <w:rsid w:val="007B6797"/>
    <w:rsid w:val="007B6F00"/>
    <w:rsid w:val="007B70C4"/>
    <w:rsid w:val="007B772E"/>
    <w:rsid w:val="007B784C"/>
    <w:rsid w:val="007B7C63"/>
    <w:rsid w:val="007B7F8C"/>
    <w:rsid w:val="007C11A7"/>
    <w:rsid w:val="007C152B"/>
    <w:rsid w:val="007C157E"/>
    <w:rsid w:val="007C2046"/>
    <w:rsid w:val="007C28A3"/>
    <w:rsid w:val="007C3399"/>
    <w:rsid w:val="007C4E09"/>
    <w:rsid w:val="007C5535"/>
    <w:rsid w:val="007C5D40"/>
    <w:rsid w:val="007C61B4"/>
    <w:rsid w:val="007C676A"/>
    <w:rsid w:val="007C69A8"/>
    <w:rsid w:val="007C69D8"/>
    <w:rsid w:val="007C7003"/>
    <w:rsid w:val="007C7072"/>
    <w:rsid w:val="007D15BB"/>
    <w:rsid w:val="007D1CF0"/>
    <w:rsid w:val="007D2155"/>
    <w:rsid w:val="007D2924"/>
    <w:rsid w:val="007D35E5"/>
    <w:rsid w:val="007D36F3"/>
    <w:rsid w:val="007D45FF"/>
    <w:rsid w:val="007D6A8A"/>
    <w:rsid w:val="007D7613"/>
    <w:rsid w:val="007D77CF"/>
    <w:rsid w:val="007E05E2"/>
    <w:rsid w:val="007E1D09"/>
    <w:rsid w:val="007E21CC"/>
    <w:rsid w:val="007E2893"/>
    <w:rsid w:val="007E3974"/>
    <w:rsid w:val="007E4A64"/>
    <w:rsid w:val="007E52A5"/>
    <w:rsid w:val="007E61A5"/>
    <w:rsid w:val="007E754C"/>
    <w:rsid w:val="007E766D"/>
    <w:rsid w:val="007F086C"/>
    <w:rsid w:val="007F2BF7"/>
    <w:rsid w:val="007F2D66"/>
    <w:rsid w:val="007F3BFD"/>
    <w:rsid w:val="007F3DEA"/>
    <w:rsid w:val="007F508E"/>
    <w:rsid w:val="007F50A8"/>
    <w:rsid w:val="007F57C6"/>
    <w:rsid w:val="007F5826"/>
    <w:rsid w:val="007F5D2C"/>
    <w:rsid w:val="007F6595"/>
    <w:rsid w:val="007F7404"/>
    <w:rsid w:val="007F75D2"/>
    <w:rsid w:val="00800A1E"/>
    <w:rsid w:val="00800F93"/>
    <w:rsid w:val="00804146"/>
    <w:rsid w:val="00804AB7"/>
    <w:rsid w:val="008051C3"/>
    <w:rsid w:val="008052A4"/>
    <w:rsid w:val="008052DF"/>
    <w:rsid w:val="008058DA"/>
    <w:rsid w:val="008069D2"/>
    <w:rsid w:val="00811E88"/>
    <w:rsid w:val="00812BA1"/>
    <w:rsid w:val="00812BFB"/>
    <w:rsid w:val="008131B4"/>
    <w:rsid w:val="00813D72"/>
    <w:rsid w:val="00817133"/>
    <w:rsid w:val="00821C57"/>
    <w:rsid w:val="00822166"/>
    <w:rsid w:val="00822CE8"/>
    <w:rsid w:val="00823034"/>
    <w:rsid w:val="008230D7"/>
    <w:rsid w:val="00823743"/>
    <w:rsid w:val="00824ED9"/>
    <w:rsid w:val="0082589D"/>
    <w:rsid w:val="00825FBF"/>
    <w:rsid w:val="0083140D"/>
    <w:rsid w:val="008320BE"/>
    <w:rsid w:val="008333EA"/>
    <w:rsid w:val="00833CD1"/>
    <w:rsid w:val="00836B1D"/>
    <w:rsid w:val="00840121"/>
    <w:rsid w:val="00840471"/>
    <w:rsid w:val="0084363B"/>
    <w:rsid w:val="00843DA6"/>
    <w:rsid w:val="00845469"/>
    <w:rsid w:val="00845A53"/>
    <w:rsid w:val="00846137"/>
    <w:rsid w:val="00846E2F"/>
    <w:rsid w:val="00850227"/>
    <w:rsid w:val="00851E7C"/>
    <w:rsid w:val="00853458"/>
    <w:rsid w:val="00853A3B"/>
    <w:rsid w:val="00854F89"/>
    <w:rsid w:val="00855574"/>
    <w:rsid w:val="00856DF0"/>
    <w:rsid w:val="0085717B"/>
    <w:rsid w:val="008604C9"/>
    <w:rsid w:val="00860DE7"/>
    <w:rsid w:val="008613E4"/>
    <w:rsid w:val="00864A28"/>
    <w:rsid w:val="008662A8"/>
    <w:rsid w:val="00867624"/>
    <w:rsid w:val="00870CFD"/>
    <w:rsid w:val="00870DB1"/>
    <w:rsid w:val="00872E0D"/>
    <w:rsid w:val="00873EFF"/>
    <w:rsid w:val="0087407D"/>
    <w:rsid w:val="00874E58"/>
    <w:rsid w:val="00875735"/>
    <w:rsid w:val="00875A69"/>
    <w:rsid w:val="00875E6F"/>
    <w:rsid w:val="0087625F"/>
    <w:rsid w:val="008765D9"/>
    <w:rsid w:val="00877253"/>
    <w:rsid w:val="00877472"/>
    <w:rsid w:val="00877F28"/>
    <w:rsid w:val="00877F48"/>
    <w:rsid w:val="00880A10"/>
    <w:rsid w:val="00881423"/>
    <w:rsid w:val="0088321D"/>
    <w:rsid w:val="0088397A"/>
    <w:rsid w:val="00884267"/>
    <w:rsid w:val="00884C67"/>
    <w:rsid w:val="00885A82"/>
    <w:rsid w:val="00885D76"/>
    <w:rsid w:val="0088623B"/>
    <w:rsid w:val="0088672F"/>
    <w:rsid w:val="00886E9F"/>
    <w:rsid w:val="0088706B"/>
    <w:rsid w:val="0088789A"/>
    <w:rsid w:val="00887947"/>
    <w:rsid w:val="0089053D"/>
    <w:rsid w:val="00891D95"/>
    <w:rsid w:val="008933AB"/>
    <w:rsid w:val="00897A03"/>
    <w:rsid w:val="008A00BF"/>
    <w:rsid w:val="008A1445"/>
    <w:rsid w:val="008A1B89"/>
    <w:rsid w:val="008A21C5"/>
    <w:rsid w:val="008A2C5B"/>
    <w:rsid w:val="008A2D3E"/>
    <w:rsid w:val="008A3BA3"/>
    <w:rsid w:val="008A415C"/>
    <w:rsid w:val="008A5081"/>
    <w:rsid w:val="008B0E5B"/>
    <w:rsid w:val="008B179E"/>
    <w:rsid w:val="008B1C9B"/>
    <w:rsid w:val="008B3016"/>
    <w:rsid w:val="008B3A54"/>
    <w:rsid w:val="008B3A9C"/>
    <w:rsid w:val="008B3CDC"/>
    <w:rsid w:val="008B3E93"/>
    <w:rsid w:val="008B4C9A"/>
    <w:rsid w:val="008B6E7C"/>
    <w:rsid w:val="008B7357"/>
    <w:rsid w:val="008B799B"/>
    <w:rsid w:val="008C3315"/>
    <w:rsid w:val="008C3943"/>
    <w:rsid w:val="008C396C"/>
    <w:rsid w:val="008C4C0F"/>
    <w:rsid w:val="008C6B06"/>
    <w:rsid w:val="008D13EB"/>
    <w:rsid w:val="008D2034"/>
    <w:rsid w:val="008D5C27"/>
    <w:rsid w:val="008D692F"/>
    <w:rsid w:val="008D7CB6"/>
    <w:rsid w:val="008E0585"/>
    <w:rsid w:val="008E0881"/>
    <w:rsid w:val="008E176C"/>
    <w:rsid w:val="008E4AB6"/>
    <w:rsid w:val="008E684B"/>
    <w:rsid w:val="008E6AB7"/>
    <w:rsid w:val="008E70C9"/>
    <w:rsid w:val="008E764B"/>
    <w:rsid w:val="008F03B0"/>
    <w:rsid w:val="008F1441"/>
    <w:rsid w:val="008F1754"/>
    <w:rsid w:val="008F1B23"/>
    <w:rsid w:val="008F1FE8"/>
    <w:rsid w:val="008F25FA"/>
    <w:rsid w:val="008F2E66"/>
    <w:rsid w:val="008F30A9"/>
    <w:rsid w:val="008F471D"/>
    <w:rsid w:val="008F6075"/>
    <w:rsid w:val="008F65BD"/>
    <w:rsid w:val="008F7735"/>
    <w:rsid w:val="008F7CE5"/>
    <w:rsid w:val="008F7E7D"/>
    <w:rsid w:val="0090193B"/>
    <w:rsid w:val="00903583"/>
    <w:rsid w:val="0090370D"/>
    <w:rsid w:val="0090540A"/>
    <w:rsid w:val="0090595D"/>
    <w:rsid w:val="00905974"/>
    <w:rsid w:val="00910A78"/>
    <w:rsid w:val="0091171D"/>
    <w:rsid w:val="0091175D"/>
    <w:rsid w:val="00912432"/>
    <w:rsid w:val="0091447E"/>
    <w:rsid w:val="00914781"/>
    <w:rsid w:val="009153B0"/>
    <w:rsid w:val="009161CE"/>
    <w:rsid w:val="0091665C"/>
    <w:rsid w:val="00917745"/>
    <w:rsid w:val="0091774E"/>
    <w:rsid w:val="00917EC0"/>
    <w:rsid w:val="009200E9"/>
    <w:rsid w:val="0092037B"/>
    <w:rsid w:val="00920811"/>
    <w:rsid w:val="00920976"/>
    <w:rsid w:val="0092383F"/>
    <w:rsid w:val="00924566"/>
    <w:rsid w:val="00924964"/>
    <w:rsid w:val="00925993"/>
    <w:rsid w:val="00925C29"/>
    <w:rsid w:val="00926EE2"/>
    <w:rsid w:val="0093011F"/>
    <w:rsid w:val="00930662"/>
    <w:rsid w:val="00930D40"/>
    <w:rsid w:val="009324EB"/>
    <w:rsid w:val="00932827"/>
    <w:rsid w:val="0093288C"/>
    <w:rsid w:val="00933226"/>
    <w:rsid w:val="00933B37"/>
    <w:rsid w:val="00934055"/>
    <w:rsid w:val="0093443B"/>
    <w:rsid w:val="00936ABF"/>
    <w:rsid w:val="00936BAB"/>
    <w:rsid w:val="00936E34"/>
    <w:rsid w:val="00940EB5"/>
    <w:rsid w:val="00941744"/>
    <w:rsid w:val="00941ADA"/>
    <w:rsid w:val="00941EA3"/>
    <w:rsid w:val="009420DE"/>
    <w:rsid w:val="009425D1"/>
    <w:rsid w:val="009439C3"/>
    <w:rsid w:val="00944BCB"/>
    <w:rsid w:val="00945689"/>
    <w:rsid w:val="009456D6"/>
    <w:rsid w:val="00946208"/>
    <w:rsid w:val="009462A0"/>
    <w:rsid w:val="009479CF"/>
    <w:rsid w:val="00947C44"/>
    <w:rsid w:val="00947DCF"/>
    <w:rsid w:val="00951643"/>
    <w:rsid w:val="00953D97"/>
    <w:rsid w:val="00955BC4"/>
    <w:rsid w:val="009569BA"/>
    <w:rsid w:val="00956A57"/>
    <w:rsid w:val="009571DB"/>
    <w:rsid w:val="00957E9E"/>
    <w:rsid w:val="0096041D"/>
    <w:rsid w:val="00960573"/>
    <w:rsid w:val="00961F83"/>
    <w:rsid w:val="00963708"/>
    <w:rsid w:val="009656A6"/>
    <w:rsid w:val="00966260"/>
    <w:rsid w:val="00967406"/>
    <w:rsid w:val="00971E00"/>
    <w:rsid w:val="0097270B"/>
    <w:rsid w:val="00972777"/>
    <w:rsid w:val="00972BD5"/>
    <w:rsid w:val="009738D3"/>
    <w:rsid w:val="0097498A"/>
    <w:rsid w:val="00974DF7"/>
    <w:rsid w:val="009752D5"/>
    <w:rsid w:val="00976102"/>
    <w:rsid w:val="009763FB"/>
    <w:rsid w:val="00977848"/>
    <w:rsid w:val="0098148E"/>
    <w:rsid w:val="00981DEA"/>
    <w:rsid w:val="0098386B"/>
    <w:rsid w:val="00985534"/>
    <w:rsid w:val="00985CE9"/>
    <w:rsid w:val="00985F3C"/>
    <w:rsid w:val="0098605A"/>
    <w:rsid w:val="00986B14"/>
    <w:rsid w:val="00987220"/>
    <w:rsid w:val="0098747B"/>
    <w:rsid w:val="00987FAA"/>
    <w:rsid w:val="0099059A"/>
    <w:rsid w:val="009920C3"/>
    <w:rsid w:val="0099280D"/>
    <w:rsid w:val="009928BB"/>
    <w:rsid w:val="00993736"/>
    <w:rsid w:val="009969D2"/>
    <w:rsid w:val="00996A25"/>
    <w:rsid w:val="0099755F"/>
    <w:rsid w:val="009A05B6"/>
    <w:rsid w:val="009A080B"/>
    <w:rsid w:val="009A0CE1"/>
    <w:rsid w:val="009A19BD"/>
    <w:rsid w:val="009A1F07"/>
    <w:rsid w:val="009A27DE"/>
    <w:rsid w:val="009A3032"/>
    <w:rsid w:val="009A32B7"/>
    <w:rsid w:val="009A32C7"/>
    <w:rsid w:val="009A3395"/>
    <w:rsid w:val="009A4896"/>
    <w:rsid w:val="009B0E38"/>
    <w:rsid w:val="009B2202"/>
    <w:rsid w:val="009B3F6C"/>
    <w:rsid w:val="009B42C3"/>
    <w:rsid w:val="009B4A5D"/>
    <w:rsid w:val="009B53C6"/>
    <w:rsid w:val="009B5B17"/>
    <w:rsid w:val="009B5BC3"/>
    <w:rsid w:val="009B66EF"/>
    <w:rsid w:val="009B7782"/>
    <w:rsid w:val="009C0B86"/>
    <w:rsid w:val="009C11F4"/>
    <w:rsid w:val="009C15BC"/>
    <w:rsid w:val="009C1BDC"/>
    <w:rsid w:val="009C3011"/>
    <w:rsid w:val="009C3181"/>
    <w:rsid w:val="009C47EB"/>
    <w:rsid w:val="009C6459"/>
    <w:rsid w:val="009C6C59"/>
    <w:rsid w:val="009C77F2"/>
    <w:rsid w:val="009D00C3"/>
    <w:rsid w:val="009D049E"/>
    <w:rsid w:val="009D0E58"/>
    <w:rsid w:val="009D2F82"/>
    <w:rsid w:val="009D5370"/>
    <w:rsid w:val="009D563D"/>
    <w:rsid w:val="009D7DC2"/>
    <w:rsid w:val="009E0E01"/>
    <w:rsid w:val="009E0E2A"/>
    <w:rsid w:val="009E158B"/>
    <w:rsid w:val="009E1623"/>
    <w:rsid w:val="009E35F3"/>
    <w:rsid w:val="009E67CB"/>
    <w:rsid w:val="009F00A5"/>
    <w:rsid w:val="009F1CF6"/>
    <w:rsid w:val="009F4A32"/>
    <w:rsid w:val="00A00E87"/>
    <w:rsid w:val="00A010B5"/>
    <w:rsid w:val="00A03786"/>
    <w:rsid w:val="00A03926"/>
    <w:rsid w:val="00A03ED5"/>
    <w:rsid w:val="00A04061"/>
    <w:rsid w:val="00A05400"/>
    <w:rsid w:val="00A058A2"/>
    <w:rsid w:val="00A0641C"/>
    <w:rsid w:val="00A06CE7"/>
    <w:rsid w:val="00A072CC"/>
    <w:rsid w:val="00A07735"/>
    <w:rsid w:val="00A10157"/>
    <w:rsid w:val="00A10B1A"/>
    <w:rsid w:val="00A11AA2"/>
    <w:rsid w:val="00A11C67"/>
    <w:rsid w:val="00A1303D"/>
    <w:rsid w:val="00A13DB3"/>
    <w:rsid w:val="00A14721"/>
    <w:rsid w:val="00A148D9"/>
    <w:rsid w:val="00A1671D"/>
    <w:rsid w:val="00A16DE0"/>
    <w:rsid w:val="00A17650"/>
    <w:rsid w:val="00A17857"/>
    <w:rsid w:val="00A202B7"/>
    <w:rsid w:val="00A206FE"/>
    <w:rsid w:val="00A209C7"/>
    <w:rsid w:val="00A20F48"/>
    <w:rsid w:val="00A213A6"/>
    <w:rsid w:val="00A214E5"/>
    <w:rsid w:val="00A21DD0"/>
    <w:rsid w:val="00A22020"/>
    <w:rsid w:val="00A22216"/>
    <w:rsid w:val="00A240FF"/>
    <w:rsid w:val="00A24465"/>
    <w:rsid w:val="00A2494B"/>
    <w:rsid w:val="00A25146"/>
    <w:rsid w:val="00A262D9"/>
    <w:rsid w:val="00A27178"/>
    <w:rsid w:val="00A273CE"/>
    <w:rsid w:val="00A2787E"/>
    <w:rsid w:val="00A30EDE"/>
    <w:rsid w:val="00A3155D"/>
    <w:rsid w:val="00A32208"/>
    <w:rsid w:val="00A333D5"/>
    <w:rsid w:val="00A35F5C"/>
    <w:rsid w:val="00A367E6"/>
    <w:rsid w:val="00A374FC"/>
    <w:rsid w:val="00A40E58"/>
    <w:rsid w:val="00A4220D"/>
    <w:rsid w:val="00A4281E"/>
    <w:rsid w:val="00A4340C"/>
    <w:rsid w:val="00A43F86"/>
    <w:rsid w:val="00A44892"/>
    <w:rsid w:val="00A448BA"/>
    <w:rsid w:val="00A44914"/>
    <w:rsid w:val="00A46940"/>
    <w:rsid w:val="00A47459"/>
    <w:rsid w:val="00A50A31"/>
    <w:rsid w:val="00A51077"/>
    <w:rsid w:val="00A51728"/>
    <w:rsid w:val="00A52632"/>
    <w:rsid w:val="00A52A6E"/>
    <w:rsid w:val="00A53216"/>
    <w:rsid w:val="00A54DBB"/>
    <w:rsid w:val="00A553E9"/>
    <w:rsid w:val="00A55AE3"/>
    <w:rsid w:val="00A57782"/>
    <w:rsid w:val="00A57FC8"/>
    <w:rsid w:val="00A60C6B"/>
    <w:rsid w:val="00A61CF9"/>
    <w:rsid w:val="00A62F66"/>
    <w:rsid w:val="00A6300E"/>
    <w:rsid w:val="00A64AE5"/>
    <w:rsid w:val="00A65BF3"/>
    <w:rsid w:val="00A7047C"/>
    <w:rsid w:val="00A72B59"/>
    <w:rsid w:val="00A73D72"/>
    <w:rsid w:val="00A73F09"/>
    <w:rsid w:val="00A74066"/>
    <w:rsid w:val="00A745BC"/>
    <w:rsid w:val="00A754EB"/>
    <w:rsid w:val="00A77179"/>
    <w:rsid w:val="00A8093A"/>
    <w:rsid w:val="00A82598"/>
    <w:rsid w:val="00A82F0E"/>
    <w:rsid w:val="00A83C1A"/>
    <w:rsid w:val="00A843B7"/>
    <w:rsid w:val="00A84E54"/>
    <w:rsid w:val="00A8552D"/>
    <w:rsid w:val="00A865CE"/>
    <w:rsid w:val="00A86C91"/>
    <w:rsid w:val="00A87826"/>
    <w:rsid w:val="00A87B93"/>
    <w:rsid w:val="00A9118A"/>
    <w:rsid w:val="00A91526"/>
    <w:rsid w:val="00A92AD1"/>
    <w:rsid w:val="00A93739"/>
    <w:rsid w:val="00A964B8"/>
    <w:rsid w:val="00A965BD"/>
    <w:rsid w:val="00A96EE3"/>
    <w:rsid w:val="00A97818"/>
    <w:rsid w:val="00A97848"/>
    <w:rsid w:val="00AA0101"/>
    <w:rsid w:val="00AA1519"/>
    <w:rsid w:val="00AA1E0E"/>
    <w:rsid w:val="00AA20CA"/>
    <w:rsid w:val="00AA25A7"/>
    <w:rsid w:val="00AA33B0"/>
    <w:rsid w:val="00AA3B9F"/>
    <w:rsid w:val="00AA4CB9"/>
    <w:rsid w:val="00AA4EB5"/>
    <w:rsid w:val="00AA50D0"/>
    <w:rsid w:val="00AA6038"/>
    <w:rsid w:val="00AA6437"/>
    <w:rsid w:val="00AA6C74"/>
    <w:rsid w:val="00AB0590"/>
    <w:rsid w:val="00AB2CF1"/>
    <w:rsid w:val="00AB31AC"/>
    <w:rsid w:val="00AB4028"/>
    <w:rsid w:val="00AB52CE"/>
    <w:rsid w:val="00AB7028"/>
    <w:rsid w:val="00AB7390"/>
    <w:rsid w:val="00AB7A01"/>
    <w:rsid w:val="00AC0047"/>
    <w:rsid w:val="00AC1BCF"/>
    <w:rsid w:val="00AC3383"/>
    <w:rsid w:val="00AC43FD"/>
    <w:rsid w:val="00AC630A"/>
    <w:rsid w:val="00AC77D8"/>
    <w:rsid w:val="00AC7F2B"/>
    <w:rsid w:val="00AD0BEF"/>
    <w:rsid w:val="00AD27A3"/>
    <w:rsid w:val="00AD4B21"/>
    <w:rsid w:val="00AD65B8"/>
    <w:rsid w:val="00AE09D2"/>
    <w:rsid w:val="00AE270D"/>
    <w:rsid w:val="00AE2F32"/>
    <w:rsid w:val="00AF12DE"/>
    <w:rsid w:val="00AF1EE9"/>
    <w:rsid w:val="00AF2C6A"/>
    <w:rsid w:val="00AF3E93"/>
    <w:rsid w:val="00AF4A28"/>
    <w:rsid w:val="00AF69B7"/>
    <w:rsid w:val="00AF6CD7"/>
    <w:rsid w:val="00B0165C"/>
    <w:rsid w:val="00B01E1E"/>
    <w:rsid w:val="00B03094"/>
    <w:rsid w:val="00B052D9"/>
    <w:rsid w:val="00B054D3"/>
    <w:rsid w:val="00B05916"/>
    <w:rsid w:val="00B05AD6"/>
    <w:rsid w:val="00B10412"/>
    <w:rsid w:val="00B107F4"/>
    <w:rsid w:val="00B10F14"/>
    <w:rsid w:val="00B110BB"/>
    <w:rsid w:val="00B12659"/>
    <w:rsid w:val="00B12A8D"/>
    <w:rsid w:val="00B12E9D"/>
    <w:rsid w:val="00B13631"/>
    <w:rsid w:val="00B1554E"/>
    <w:rsid w:val="00B156E3"/>
    <w:rsid w:val="00B1576B"/>
    <w:rsid w:val="00B1639D"/>
    <w:rsid w:val="00B1772B"/>
    <w:rsid w:val="00B17ABB"/>
    <w:rsid w:val="00B20029"/>
    <w:rsid w:val="00B20EC1"/>
    <w:rsid w:val="00B2145A"/>
    <w:rsid w:val="00B21FE3"/>
    <w:rsid w:val="00B224E6"/>
    <w:rsid w:val="00B22776"/>
    <w:rsid w:val="00B230FC"/>
    <w:rsid w:val="00B23642"/>
    <w:rsid w:val="00B23C8C"/>
    <w:rsid w:val="00B30C1F"/>
    <w:rsid w:val="00B30EB1"/>
    <w:rsid w:val="00B317DE"/>
    <w:rsid w:val="00B31DF9"/>
    <w:rsid w:val="00B31EEF"/>
    <w:rsid w:val="00B337E0"/>
    <w:rsid w:val="00B346AE"/>
    <w:rsid w:val="00B35F02"/>
    <w:rsid w:val="00B36679"/>
    <w:rsid w:val="00B36DCD"/>
    <w:rsid w:val="00B401EE"/>
    <w:rsid w:val="00B41C33"/>
    <w:rsid w:val="00B426C3"/>
    <w:rsid w:val="00B4355D"/>
    <w:rsid w:val="00B43F20"/>
    <w:rsid w:val="00B44317"/>
    <w:rsid w:val="00B446F3"/>
    <w:rsid w:val="00B44768"/>
    <w:rsid w:val="00B45958"/>
    <w:rsid w:val="00B46251"/>
    <w:rsid w:val="00B46A91"/>
    <w:rsid w:val="00B4744D"/>
    <w:rsid w:val="00B476B4"/>
    <w:rsid w:val="00B4789B"/>
    <w:rsid w:val="00B50551"/>
    <w:rsid w:val="00B50AFB"/>
    <w:rsid w:val="00B51C49"/>
    <w:rsid w:val="00B51E40"/>
    <w:rsid w:val="00B5280F"/>
    <w:rsid w:val="00B529DB"/>
    <w:rsid w:val="00B539BE"/>
    <w:rsid w:val="00B540BD"/>
    <w:rsid w:val="00B55833"/>
    <w:rsid w:val="00B559B9"/>
    <w:rsid w:val="00B55B0F"/>
    <w:rsid w:val="00B55BE1"/>
    <w:rsid w:val="00B55DCA"/>
    <w:rsid w:val="00B56FE1"/>
    <w:rsid w:val="00B57373"/>
    <w:rsid w:val="00B60126"/>
    <w:rsid w:val="00B62445"/>
    <w:rsid w:val="00B6301D"/>
    <w:rsid w:val="00B631C4"/>
    <w:rsid w:val="00B63628"/>
    <w:rsid w:val="00B651D4"/>
    <w:rsid w:val="00B66797"/>
    <w:rsid w:val="00B67CD5"/>
    <w:rsid w:val="00B731DD"/>
    <w:rsid w:val="00B73403"/>
    <w:rsid w:val="00B74353"/>
    <w:rsid w:val="00B76026"/>
    <w:rsid w:val="00B7735B"/>
    <w:rsid w:val="00B77F0C"/>
    <w:rsid w:val="00B77F33"/>
    <w:rsid w:val="00B805D4"/>
    <w:rsid w:val="00B80E5A"/>
    <w:rsid w:val="00B81062"/>
    <w:rsid w:val="00B82C2A"/>
    <w:rsid w:val="00B86C16"/>
    <w:rsid w:val="00B91E02"/>
    <w:rsid w:val="00B92466"/>
    <w:rsid w:val="00B92725"/>
    <w:rsid w:val="00B927E3"/>
    <w:rsid w:val="00B9414B"/>
    <w:rsid w:val="00B94777"/>
    <w:rsid w:val="00B95643"/>
    <w:rsid w:val="00B95B8F"/>
    <w:rsid w:val="00B95D34"/>
    <w:rsid w:val="00B95D83"/>
    <w:rsid w:val="00B96052"/>
    <w:rsid w:val="00B9686D"/>
    <w:rsid w:val="00B97410"/>
    <w:rsid w:val="00B979A3"/>
    <w:rsid w:val="00BA03CE"/>
    <w:rsid w:val="00BA05B0"/>
    <w:rsid w:val="00BA08DE"/>
    <w:rsid w:val="00BA32A3"/>
    <w:rsid w:val="00BA371E"/>
    <w:rsid w:val="00BA3B99"/>
    <w:rsid w:val="00BA517E"/>
    <w:rsid w:val="00BA537A"/>
    <w:rsid w:val="00BA70F2"/>
    <w:rsid w:val="00BA7579"/>
    <w:rsid w:val="00BB2364"/>
    <w:rsid w:val="00BB2CF3"/>
    <w:rsid w:val="00BB334D"/>
    <w:rsid w:val="00BB3B84"/>
    <w:rsid w:val="00BB5D7C"/>
    <w:rsid w:val="00BB6DDD"/>
    <w:rsid w:val="00BC03B1"/>
    <w:rsid w:val="00BC060E"/>
    <w:rsid w:val="00BC06FD"/>
    <w:rsid w:val="00BC0A97"/>
    <w:rsid w:val="00BC1D30"/>
    <w:rsid w:val="00BC235D"/>
    <w:rsid w:val="00BC28E2"/>
    <w:rsid w:val="00BC28F4"/>
    <w:rsid w:val="00BC2C3B"/>
    <w:rsid w:val="00BC501F"/>
    <w:rsid w:val="00BC5E73"/>
    <w:rsid w:val="00BC7302"/>
    <w:rsid w:val="00BC79A6"/>
    <w:rsid w:val="00BD06CF"/>
    <w:rsid w:val="00BD3618"/>
    <w:rsid w:val="00BD3831"/>
    <w:rsid w:val="00BD4F72"/>
    <w:rsid w:val="00BD6ECC"/>
    <w:rsid w:val="00BE0366"/>
    <w:rsid w:val="00BE0FF5"/>
    <w:rsid w:val="00BE2007"/>
    <w:rsid w:val="00BE2B94"/>
    <w:rsid w:val="00BE2FF6"/>
    <w:rsid w:val="00BE3573"/>
    <w:rsid w:val="00BE47A0"/>
    <w:rsid w:val="00BE54AF"/>
    <w:rsid w:val="00BE6191"/>
    <w:rsid w:val="00BE62AD"/>
    <w:rsid w:val="00BE78CD"/>
    <w:rsid w:val="00BF0C06"/>
    <w:rsid w:val="00BF0CAE"/>
    <w:rsid w:val="00BF5711"/>
    <w:rsid w:val="00BF5CFA"/>
    <w:rsid w:val="00C000EC"/>
    <w:rsid w:val="00C01778"/>
    <w:rsid w:val="00C01A85"/>
    <w:rsid w:val="00C01F79"/>
    <w:rsid w:val="00C02F8D"/>
    <w:rsid w:val="00C03356"/>
    <w:rsid w:val="00C04909"/>
    <w:rsid w:val="00C05D64"/>
    <w:rsid w:val="00C062A5"/>
    <w:rsid w:val="00C07D36"/>
    <w:rsid w:val="00C12308"/>
    <w:rsid w:val="00C1247B"/>
    <w:rsid w:val="00C1289A"/>
    <w:rsid w:val="00C12FD1"/>
    <w:rsid w:val="00C13245"/>
    <w:rsid w:val="00C13340"/>
    <w:rsid w:val="00C143EE"/>
    <w:rsid w:val="00C15BD5"/>
    <w:rsid w:val="00C17780"/>
    <w:rsid w:val="00C17D4A"/>
    <w:rsid w:val="00C22F52"/>
    <w:rsid w:val="00C2401F"/>
    <w:rsid w:val="00C254E5"/>
    <w:rsid w:val="00C2591B"/>
    <w:rsid w:val="00C30106"/>
    <w:rsid w:val="00C308B8"/>
    <w:rsid w:val="00C331F5"/>
    <w:rsid w:val="00C33816"/>
    <w:rsid w:val="00C33F61"/>
    <w:rsid w:val="00C34AFF"/>
    <w:rsid w:val="00C35C32"/>
    <w:rsid w:val="00C35C93"/>
    <w:rsid w:val="00C367C6"/>
    <w:rsid w:val="00C3687F"/>
    <w:rsid w:val="00C36D30"/>
    <w:rsid w:val="00C3724B"/>
    <w:rsid w:val="00C37878"/>
    <w:rsid w:val="00C3791A"/>
    <w:rsid w:val="00C40181"/>
    <w:rsid w:val="00C40710"/>
    <w:rsid w:val="00C412DC"/>
    <w:rsid w:val="00C446EC"/>
    <w:rsid w:val="00C4484F"/>
    <w:rsid w:val="00C450FB"/>
    <w:rsid w:val="00C47946"/>
    <w:rsid w:val="00C501DE"/>
    <w:rsid w:val="00C50B8D"/>
    <w:rsid w:val="00C5234E"/>
    <w:rsid w:val="00C528B5"/>
    <w:rsid w:val="00C53082"/>
    <w:rsid w:val="00C53D3F"/>
    <w:rsid w:val="00C5503B"/>
    <w:rsid w:val="00C55C52"/>
    <w:rsid w:val="00C5640E"/>
    <w:rsid w:val="00C57243"/>
    <w:rsid w:val="00C61F46"/>
    <w:rsid w:val="00C620B6"/>
    <w:rsid w:val="00C620FA"/>
    <w:rsid w:val="00C623F7"/>
    <w:rsid w:val="00C627C6"/>
    <w:rsid w:val="00C63D4E"/>
    <w:rsid w:val="00C63F71"/>
    <w:rsid w:val="00C64B20"/>
    <w:rsid w:val="00C650B9"/>
    <w:rsid w:val="00C711B5"/>
    <w:rsid w:val="00C711D6"/>
    <w:rsid w:val="00C7324F"/>
    <w:rsid w:val="00C7462B"/>
    <w:rsid w:val="00C77121"/>
    <w:rsid w:val="00C77367"/>
    <w:rsid w:val="00C77851"/>
    <w:rsid w:val="00C81DB3"/>
    <w:rsid w:val="00C82369"/>
    <w:rsid w:val="00C842EA"/>
    <w:rsid w:val="00C85C5D"/>
    <w:rsid w:val="00C85DEA"/>
    <w:rsid w:val="00C87607"/>
    <w:rsid w:val="00C87645"/>
    <w:rsid w:val="00C90F31"/>
    <w:rsid w:val="00C91407"/>
    <w:rsid w:val="00C91537"/>
    <w:rsid w:val="00C91658"/>
    <w:rsid w:val="00C92969"/>
    <w:rsid w:val="00C92B1B"/>
    <w:rsid w:val="00C9379C"/>
    <w:rsid w:val="00C93AD6"/>
    <w:rsid w:val="00C94012"/>
    <w:rsid w:val="00C9429C"/>
    <w:rsid w:val="00C947BB"/>
    <w:rsid w:val="00C952F6"/>
    <w:rsid w:val="00C95317"/>
    <w:rsid w:val="00C9541E"/>
    <w:rsid w:val="00C95A86"/>
    <w:rsid w:val="00C97654"/>
    <w:rsid w:val="00C97A5C"/>
    <w:rsid w:val="00C97B35"/>
    <w:rsid w:val="00CA0478"/>
    <w:rsid w:val="00CA04C4"/>
    <w:rsid w:val="00CA1116"/>
    <w:rsid w:val="00CA2990"/>
    <w:rsid w:val="00CA31B0"/>
    <w:rsid w:val="00CA479E"/>
    <w:rsid w:val="00CA5580"/>
    <w:rsid w:val="00CA55E4"/>
    <w:rsid w:val="00CA679E"/>
    <w:rsid w:val="00CA67D5"/>
    <w:rsid w:val="00CA6A4C"/>
    <w:rsid w:val="00CA6D7E"/>
    <w:rsid w:val="00CB1822"/>
    <w:rsid w:val="00CB20AF"/>
    <w:rsid w:val="00CB225B"/>
    <w:rsid w:val="00CB2A34"/>
    <w:rsid w:val="00CB3F41"/>
    <w:rsid w:val="00CB44F0"/>
    <w:rsid w:val="00CB468C"/>
    <w:rsid w:val="00CB4FF4"/>
    <w:rsid w:val="00CB504D"/>
    <w:rsid w:val="00CB5D0D"/>
    <w:rsid w:val="00CB676D"/>
    <w:rsid w:val="00CB69B4"/>
    <w:rsid w:val="00CB6DA4"/>
    <w:rsid w:val="00CB7EF1"/>
    <w:rsid w:val="00CC0D2C"/>
    <w:rsid w:val="00CC12C4"/>
    <w:rsid w:val="00CC16E1"/>
    <w:rsid w:val="00CC2AEF"/>
    <w:rsid w:val="00CC481D"/>
    <w:rsid w:val="00CC5195"/>
    <w:rsid w:val="00CC529F"/>
    <w:rsid w:val="00CC55C3"/>
    <w:rsid w:val="00CC627E"/>
    <w:rsid w:val="00CC6815"/>
    <w:rsid w:val="00CC6944"/>
    <w:rsid w:val="00CC6D5B"/>
    <w:rsid w:val="00CD03A7"/>
    <w:rsid w:val="00CD0C47"/>
    <w:rsid w:val="00CD0D27"/>
    <w:rsid w:val="00CD1544"/>
    <w:rsid w:val="00CD2562"/>
    <w:rsid w:val="00CD2D6A"/>
    <w:rsid w:val="00CD3444"/>
    <w:rsid w:val="00CD4D50"/>
    <w:rsid w:val="00CD590D"/>
    <w:rsid w:val="00CD6EA6"/>
    <w:rsid w:val="00CD7023"/>
    <w:rsid w:val="00CE0DCF"/>
    <w:rsid w:val="00CE10AE"/>
    <w:rsid w:val="00CE2781"/>
    <w:rsid w:val="00CE3D8D"/>
    <w:rsid w:val="00CE52E9"/>
    <w:rsid w:val="00CE6D4B"/>
    <w:rsid w:val="00CE7EFE"/>
    <w:rsid w:val="00CF172D"/>
    <w:rsid w:val="00CF1A2E"/>
    <w:rsid w:val="00CF3B9B"/>
    <w:rsid w:val="00CF4B74"/>
    <w:rsid w:val="00CF4BC9"/>
    <w:rsid w:val="00CF5749"/>
    <w:rsid w:val="00CF5A1C"/>
    <w:rsid w:val="00CF7B14"/>
    <w:rsid w:val="00D01384"/>
    <w:rsid w:val="00D033E3"/>
    <w:rsid w:val="00D03FF9"/>
    <w:rsid w:val="00D07129"/>
    <w:rsid w:val="00D076C6"/>
    <w:rsid w:val="00D11296"/>
    <w:rsid w:val="00D1164E"/>
    <w:rsid w:val="00D125FA"/>
    <w:rsid w:val="00D12972"/>
    <w:rsid w:val="00D12B7C"/>
    <w:rsid w:val="00D12EE3"/>
    <w:rsid w:val="00D12FE4"/>
    <w:rsid w:val="00D155CE"/>
    <w:rsid w:val="00D17912"/>
    <w:rsid w:val="00D17EE5"/>
    <w:rsid w:val="00D20188"/>
    <w:rsid w:val="00D201EF"/>
    <w:rsid w:val="00D20B1A"/>
    <w:rsid w:val="00D20D48"/>
    <w:rsid w:val="00D212C6"/>
    <w:rsid w:val="00D22424"/>
    <w:rsid w:val="00D22C04"/>
    <w:rsid w:val="00D2415E"/>
    <w:rsid w:val="00D25D18"/>
    <w:rsid w:val="00D26FC3"/>
    <w:rsid w:val="00D31007"/>
    <w:rsid w:val="00D32293"/>
    <w:rsid w:val="00D324E4"/>
    <w:rsid w:val="00D339EB"/>
    <w:rsid w:val="00D33C8C"/>
    <w:rsid w:val="00D34672"/>
    <w:rsid w:val="00D358C0"/>
    <w:rsid w:val="00D36F19"/>
    <w:rsid w:val="00D37A13"/>
    <w:rsid w:val="00D4013D"/>
    <w:rsid w:val="00D40493"/>
    <w:rsid w:val="00D41B86"/>
    <w:rsid w:val="00D41EBC"/>
    <w:rsid w:val="00D427F1"/>
    <w:rsid w:val="00D44881"/>
    <w:rsid w:val="00D45319"/>
    <w:rsid w:val="00D45BD6"/>
    <w:rsid w:val="00D50E48"/>
    <w:rsid w:val="00D518A6"/>
    <w:rsid w:val="00D5352C"/>
    <w:rsid w:val="00D55496"/>
    <w:rsid w:val="00D554A9"/>
    <w:rsid w:val="00D55A0D"/>
    <w:rsid w:val="00D55AD0"/>
    <w:rsid w:val="00D56D2A"/>
    <w:rsid w:val="00D60873"/>
    <w:rsid w:val="00D609D6"/>
    <w:rsid w:val="00D62068"/>
    <w:rsid w:val="00D621ED"/>
    <w:rsid w:val="00D64A57"/>
    <w:rsid w:val="00D65EA2"/>
    <w:rsid w:val="00D660DE"/>
    <w:rsid w:val="00D66C55"/>
    <w:rsid w:val="00D70A67"/>
    <w:rsid w:val="00D71962"/>
    <w:rsid w:val="00D721AF"/>
    <w:rsid w:val="00D72605"/>
    <w:rsid w:val="00D726FE"/>
    <w:rsid w:val="00D73040"/>
    <w:rsid w:val="00D73127"/>
    <w:rsid w:val="00D7339B"/>
    <w:rsid w:val="00D734FE"/>
    <w:rsid w:val="00D73AC1"/>
    <w:rsid w:val="00D74796"/>
    <w:rsid w:val="00D74937"/>
    <w:rsid w:val="00D752A5"/>
    <w:rsid w:val="00D77207"/>
    <w:rsid w:val="00D77518"/>
    <w:rsid w:val="00D77F02"/>
    <w:rsid w:val="00D80529"/>
    <w:rsid w:val="00D80851"/>
    <w:rsid w:val="00D82FC2"/>
    <w:rsid w:val="00D84CC8"/>
    <w:rsid w:val="00D85069"/>
    <w:rsid w:val="00D8657A"/>
    <w:rsid w:val="00D868EF"/>
    <w:rsid w:val="00D904A7"/>
    <w:rsid w:val="00D9208D"/>
    <w:rsid w:val="00D9327A"/>
    <w:rsid w:val="00D93934"/>
    <w:rsid w:val="00D951F7"/>
    <w:rsid w:val="00D9528F"/>
    <w:rsid w:val="00D96375"/>
    <w:rsid w:val="00D968D1"/>
    <w:rsid w:val="00D970A1"/>
    <w:rsid w:val="00D97315"/>
    <w:rsid w:val="00D9799F"/>
    <w:rsid w:val="00DA0092"/>
    <w:rsid w:val="00DA015B"/>
    <w:rsid w:val="00DA0DBB"/>
    <w:rsid w:val="00DA181A"/>
    <w:rsid w:val="00DA1ABF"/>
    <w:rsid w:val="00DA2AC1"/>
    <w:rsid w:val="00DA3446"/>
    <w:rsid w:val="00DA3E5A"/>
    <w:rsid w:val="00DA4A7F"/>
    <w:rsid w:val="00DA522C"/>
    <w:rsid w:val="00DA5C1A"/>
    <w:rsid w:val="00DA6011"/>
    <w:rsid w:val="00DB0BF0"/>
    <w:rsid w:val="00DB10C4"/>
    <w:rsid w:val="00DB1264"/>
    <w:rsid w:val="00DB1308"/>
    <w:rsid w:val="00DB1DF2"/>
    <w:rsid w:val="00DB2DE8"/>
    <w:rsid w:val="00DB40DE"/>
    <w:rsid w:val="00DB4E15"/>
    <w:rsid w:val="00DB58F0"/>
    <w:rsid w:val="00DB59CC"/>
    <w:rsid w:val="00DB5D7C"/>
    <w:rsid w:val="00DC038B"/>
    <w:rsid w:val="00DC0EB7"/>
    <w:rsid w:val="00DC17BE"/>
    <w:rsid w:val="00DC2D96"/>
    <w:rsid w:val="00DC2EE9"/>
    <w:rsid w:val="00DC373A"/>
    <w:rsid w:val="00DC3BB6"/>
    <w:rsid w:val="00DC7971"/>
    <w:rsid w:val="00DD171D"/>
    <w:rsid w:val="00DD2977"/>
    <w:rsid w:val="00DD3553"/>
    <w:rsid w:val="00DD36DB"/>
    <w:rsid w:val="00DD38B5"/>
    <w:rsid w:val="00DD3A6C"/>
    <w:rsid w:val="00DD46CE"/>
    <w:rsid w:val="00DD5439"/>
    <w:rsid w:val="00DD56AE"/>
    <w:rsid w:val="00DD5CEF"/>
    <w:rsid w:val="00DD67FC"/>
    <w:rsid w:val="00DD7822"/>
    <w:rsid w:val="00DD79CD"/>
    <w:rsid w:val="00DD7AA5"/>
    <w:rsid w:val="00DE18A5"/>
    <w:rsid w:val="00DE2A91"/>
    <w:rsid w:val="00DE55E3"/>
    <w:rsid w:val="00DE626B"/>
    <w:rsid w:val="00DE6981"/>
    <w:rsid w:val="00DE74C8"/>
    <w:rsid w:val="00DE7C8F"/>
    <w:rsid w:val="00DF08AE"/>
    <w:rsid w:val="00DF0E2A"/>
    <w:rsid w:val="00DF3348"/>
    <w:rsid w:val="00DF492F"/>
    <w:rsid w:val="00DF4B52"/>
    <w:rsid w:val="00DF53CE"/>
    <w:rsid w:val="00DF5B36"/>
    <w:rsid w:val="00DF6A0F"/>
    <w:rsid w:val="00DF70DA"/>
    <w:rsid w:val="00DF74BA"/>
    <w:rsid w:val="00DF7C72"/>
    <w:rsid w:val="00E00762"/>
    <w:rsid w:val="00E01D03"/>
    <w:rsid w:val="00E02045"/>
    <w:rsid w:val="00E04073"/>
    <w:rsid w:val="00E0471C"/>
    <w:rsid w:val="00E0538F"/>
    <w:rsid w:val="00E076C0"/>
    <w:rsid w:val="00E1031F"/>
    <w:rsid w:val="00E104FB"/>
    <w:rsid w:val="00E11D9C"/>
    <w:rsid w:val="00E1227C"/>
    <w:rsid w:val="00E15311"/>
    <w:rsid w:val="00E1586A"/>
    <w:rsid w:val="00E17071"/>
    <w:rsid w:val="00E1737A"/>
    <w:rsid w:val="00E20886"/>
    <w:rsid w:val="00E220D6"/>
    <w:rsid w:val="00E24559"/>
    <w:rsid w:val="00E255F1"/>
    <w:rsid w:val="00E269C2"/>
    <w:rsid w:val="00E26C26"/>
    <w:rsid w:val="00E30073"/>
    <w:rsid w:val="00E306A8"/>
    <w:rsid w:val="00E326A4"/>
    <w:rsid w:val="00E329C0"/>
    <w:rsid w:val="00E33192"/>
    <w:rsid w:val="00E335F4"/>
    <w:rsid w:val="00E33D60"/>
    <w:rsid w:val="00E34DC8"/>
    <w:rsid w:val="00E351BD"/>
    <w:rsid w:val="00E36D6F"/>
    <w:rsid w:val="00E371C5"/>
    <w:rsid w:val="00E378B3"/>
    <w:rsid w:val="00E40CF6"/>
    <w:rsid w:val="00E41202"/>
    <w:rsid w:val="00E4121A"/>
    <w:rsid w:val="00E42E8F"/>
    <w:rsid w:val="00E430CF"/>
    <w:rsid w:val="00E4338F"/>
    <w:rsid w:val="00E439E8"/>
    <w:rsid w:val="00E43FA4"/>
    <w:rsid w:val="00E4487B"/>
    <w:rsid w:val="00E44D92"/>
    <w:rsid w:val="00E46EB0"/>
    <w:rsid w:val="00E47193"/>
    <w:rsid w:val="00E513DA"/>
    <w:rsid w:val="00E52C37"/>
    <w:rsid w:val="00E53D38"/>
    <w:rsid w:val="00E54237"/>
    <w:rsid w:val="00E56131"/>
    <w:rsid w:val="00E5675A"/>
    <w:rsid w:val="00E572F4"/>
    <w:rsid w:val="00E57524"/>
    <w:rsid w:val="00E57838"/>
    <w:rsid w:val="00E60897"/>
    <w:rsid w:val="00E614D9"/>
    <w:rsid w:val="00E6277D"/>
    <w:rsid w:val="00E63B9D"/>
    <w:rsid w:val="00E64969"/>
    <w:rsid w:val="00E64B0A"/>
    <w:rsid w:val="00E6577F"/>
    <w:rsid w:val="00E65DC9"/>
    <w:rsid w:val="00E65F1B"/>
    <w:rsid w:val="00E6781F"/>
    <w:rsid w:val="00E7020F"/>
    <w:rsid w:val="00E72EC2"/>
    <w:rsid w:val="00E73EFF"/>
    <w:rsid w:val="00E74730"/>
    <w:rsid w:val="00E77F57"/>
    <w:rsid w:val="00E8101D"/>
    <w:rsid w:val="00E814C5"/>
    <w:rsid w:val="00E815D5"/>
    <w:rsid w:val="00E81ADE"/>
    <w:rsid w:val="00E81B92"/>
    <w:rsid w:val="00E83614"/>
    <w:rsid w:val="00E837A5"/>
    <w:rsid w:val="00E8429E"/>
    <w:rsid w:val="00E843F0"/>
    <w:rsid w:val="00E85157"/>
    <w:rsid w:val="00E862E4"/>
    <w:rsid w:val="00E8678C"/>
    <w:rsid w:val="00E90A95"/>
    <w:rsid w:val="00E92209"/>
    <w:rsid w:val="00E92EA5"/>
    <w:rsid w:val="00E96863"/>
    <w:rsid w:val="00E96A5E"/>
    <w:rsid w:val="00E976D3"/>
    <w:rsid w:val="00EA06E8"/>
    <w:rsid w:val="00EA16EA"/>
    <w:rsid w:val="00EA1AA9"/>
    <w:rsid w:val="00EA2429"/>
    <w:rsid w:val="00EA3DF2"/>
    <w:rsid w:val="00EA61D5"/>
    <w:rsid w:val="00EA6CAB"/>
    <w:rsid w:val="00EA6EC9"/>
    <w:rsid w:val="00EA782F"/>
    <w:rsid w:val="00EB0310"/>
    <w:rsid w:val="00EB076B"/>
    <w:rsid w:val="00EB1053"/>
    <w:rsid w:val="00EB2E14"/>
    <w:rsid w:val="00EB48C6"/>
    <w:rsid w:val="00EB4AF5"/>
    <w:rsid w:val="00EB5102"/>
    <w:rsid w:val="00EB554C"/>
    <w:rsid w:val="00EB59FE"/>
    <w:rsid w:val="00EB60BF"/>
    <w:rsid w:val="00EB71AB"/>
    <w:rsid w:val="00EB7AA5"/>
    <w:rsid w:val="00EC0141"/>
    <w:rsid w:val="00EC1FFE"/>
    <w:rsid w:val="00EC378D"/>
    <w:rsid w:val="00EC56D7"/>
    <w:rsid w:val="00EC6CA3"/>
    <w:rsid w:val="00EC726D"/>
    <w:rsid w:val="00EC7802"/>
    <w:rsid w:val="00ED0894"/>
    <w:rsid w:val="00ED1422"/>
    <w:rsid w:val="00ED1E96"/>
    <w:rsid w:val="00ED318F"/>
    <w:rsid w:val="00ED34E3"/>
    <w:rsid w:val="00ED4310"/>
    <w:rsid w:val="00ED4B5C"/>
    <w:rsid w:val="00ED4C79"/>
    <w:rsid w:val="00ED5124"/>
    <w:rsid w:val="00ED597B"/>
    <w:rsid w:val="00ED6482"/>
    <w:rsid w:val="00ED7D7F"/>
    <w:rsid w:val="00EE00FC"/>
    <w:rsid w:val="00EE2BA3"/>
    <w:rsid w:val="00EE2C4B"/>
    <w:rsid w:val="00EE3D2C"/>
    <w:rsid w:val="00EE3F16"/>
    <w:rsid w:val="00EE4976"/>
    <w:rsid w:val="00EE4C28"/>
    <w:rsid w:val="00EE540B"/>
    <w:rsid w:val="00EE6CFF"/>
    <w:rsid w:val="00EE74B3"/>
    <w:rsid w:val="00EE7527"/>
    <w:rsid w:val="00EE7C1E"/>
    <w:rsid w:val="00EF09E5"/>
    <w:rsid w:val="00EF0BAE"/>
    <w:rsid w:val="00EF0DB8"/>
    <w:rsid w:val="00EF2001"/>
    <w:rsid w:val="00EF246B"/>
    <w:rsid w:val="00EF33BC"/>
    <w:rsid w:val="00EF3CE1"/>
    <w:rsid w:val="00EF40BC"/>
    <w:rsid w:val="00EF47AF"/>
    <w:rsid w:val="00EF621B"/>
    <w:rsid w:val="00EF656B"/>
    <w:rsid w:val="00EF6A6B"/>
    <w:rsid w:val="00EF6AB2"/>
    <w:rsid w:val="00EF75DF"/>
    <w:rsid w:val="00F00B8A"/>
    <w:rsid w:val="00F01269"/>
    <w:rsid w:val="00F02133"/>
    <w:rsid w:val="00F02141"/>
    <w:rsid w:val="00F04688"/>
    <w:rsid w:val="00F04DA1"/>
    <w:rsid w:val="00F108F0"/>
    <w:rsid w:val="00F10AC4"/>
    <w:rsid w:val="00F12585"/>
    <w:rsid w:val="00F13398"/>
    <w:rsid w:val="00F1499A"/>
    <w:rsid w:val="00F15496"/>
    <w:rsid w:val="00F1712B"/>
    <w:rsid w:val="00F17D93"/>
    <w:rsid w:val="00F17E30"/>
    <w:rsid w:val="00F2138E"/>
    <w:rsid w:val="00F22D86"/>
    <w:rsid w:val="00F2367E"/>
    <w:rsid w:val="00F24833"/>
    <w:rsid w:val="00F2492F"/>
    <w:rsid w:val="00F24CF4"/>
    <w:rsid w:val="00F26F33"/>
    <w:rsid w:val="00F27D66"/>
    <w:rsid w:val="00F305B7"/>
    <w:rsid w:val="00F3120B"/>
    <w:rsid w:val="00F325B2"/>
    <w:rsid w:val="00F334F8"/>
    <w:rsid w:val="00F33DE8"/>
    <w:rsid w:val="00F34E0F"/>
    <w:rsid w:val="00F350EB"/>
    <w:rsid w:val="00F355D8"/>
    <w:rsid w:val="00F366ED"/>
    <w:rsid w:val="00F3783F"/>
    <w:rsid w:val="00F4022A"/>
    <w:rsid w:val="00F410CD"/>
    <w:rsid w:val="00F41197"/>
    <w:rsid w:val="00F44A93"/>
    <w:rsid w:val="00F45366"/>
    <w:rsid w:val="00F45F1F"/>
    <w:rsid w:val="00F4706C"/>
    <w:rsid w:val="00F47A59"/>
    <w:rsid w:val="00F50BF6"/>
    <w:rsid w:val="00F5174D"/>
    <w:rsid w:val="00F5197F"/>
    <w:rsid w:val="00F52142"/>
    <w:rsid w:val="00F527F7"/>
    <w:rsid w:val="00F5371E"/>
    <w:rsid w:val="00F548D2"/>
    <w:rsid w:val="00F56184"/>
    <w:rsid w:val="00F564F4"/>
    <w:rsid w:val="00F57B2B"/>
    <w:rsid w:val="00F603FA"/>
    <w:rsid w:val="00F60B37"/>
    <w:rsid w:val="00F614DD"/>
    <w:rsid w:val="00F62DE9"/>
    <w:rsid w:val="00F62E22"/>
    <w:rsid w:val="00F63974"/>
    <w:rsid w:val="00F63A1E"/>
    <w:rsid w:val="00F64031"/>
    <w:rsid w:val="00F640F9"/>
    <w:rsid w:val="00F66075"/>
    <w:rsid w:val="00F66AB4"/>
    <w:rsid w:val="00F676A1"/>
    <w:rsid w:val="00F70ED6"/>
    <w:rsid w:val="00F71A38"/>
    <w:rsid w:val="00F72019"/>
    <w:rsid w:val="00F72A84"/>
    <w:rsid w:val="00F75299"/>
    <w:rsid w:val="00F75EE3"/>
    <w:rsid w:val="00F82429"/>
    <w:rsid w:val="00F82BB8"/>
    <w:rsid w:val="00F831A0"/>
    <w:rsid w:val="00F83527"/>
    <w:rsid w:val="00F836A5"/>
    <w:rsid w:val="00F837A6"/>
    <w:rsid w:val="00F840C8"/>
    <w:rsid w:val="00F85589"/>
    <w:rsid w:val="00F85E7F"/>
    <w:rsid w:val="00F85FE1"/>
    <w:rsid w:val="00F8672B"/>
    <w:rsid w:val="00F86972"/>
    <w:rsid w:val="00F86A5D"/>
    <w:rsid w:val="00F916C8"/>
    <w:rsid w:val="00F92F53"/>
    <w:rsid w:val="00F93BFF"/>
    <w:rsid w:val="00F94706"/>
    <w:rsid w:val="00F9498D"/>
    <w:rsid w:val="00F94A64"/>
    <w:rsid w:val="00F96462"/>
    <w:rsid w:val="00F966F1"/>
    <w:rsid w:val="00FA0F2B"/>
    <w:rsid w:val="00FA12BF"/>
    <w:rsid w:val="00FA2A94"/>
    <w:rsid w:val="00FA3174"/>
    <w:rsid w:val="00FA324D"/>
    <w:rsid w:val="00FA5597"/>
    <w:rsid w:val="00FA60E1"/>
    <w:rsid w:val="00FA7D5C"/>
    <w:rsid w:val="00FB0C51"/>
    <w:rsid w:val="00FB0E1E"/>
    <w:rsid w:val="00FB2760"/>
    <w:rsid w:val="00FB2D41"/>
    <w:rsid w:val="00FB3BFE"/>
    <w:rsid w:val="00FB49EE"/>
    <w:rsid w:val="00FB5154"/>
    <w:rsid w:val="00FB51F4"/>
    <w:rsid w:val="00FB5E15"/>
    <w:rsid w:val="00FB764B"/>
    <w:rsid w:val="00FB7B87"/>
    <w:rsid w:val="00FB7F68"/>
    <w:rsid w:val="00FC0190"/>
    <w:rsid w:val="00FC14BB"/>
    <w:rsid w:val="00FC1CC8"/>
    <w:rsid w:val="00FC2E67"/>
    <w:rsid w:val="00FC5367"/>
    <w:rsid w:val="00FC5522"/>
    <w:rsid w:val="00FC64EF"/>
    <w:rsid w:val="00FC797C"/>
    <w:rsid w:val="00FD1A12"/>
    <w:rsid w:val="00FD1ED5"/>
    <w:rsid w:val="00FD203C"/>
    <w:rsid w:val="00FD2C7E"/>
    <w:rsid w:val="00FD39CD"/>
    <w:rsid w:val="00FD3D0E"/>
    <w:rsid w:val="00FD43BF"/>
    <w:rsid w:val="00FD4560"/>
    <w:rsid w:val="00FD46D6"/>
    <w:rsid w:val="00FD5220"/>
    <w:rsid w:val="00FD54D1"/>
    <w:rsid w:val="00FD5C8A"/>
    <w:rsid w:val="00FD67AA"/>
    <w:rsid w:val="00FD6CAA"/>
    <w:rsid w:val="00FD6E14"/>
    <w:rsid w:val="00FE0324"/>
    <w:rsid w:val="00FE0C04"/>
    <w:rsid w:val="00FE2E6A"/>
    <w:rsid w:val="00FE3C87"/>
    <w:rsid w:val="00FE4ED8"/>
    <w:rsid w:val="00FE53F5"/>
    <w:rsid w:val="00FE6340"/>
    <w:rsid w:val="00FE7B37"/>
    <w:rsid w:val="00FF074B"/>
    <w:rsid w:val="00FF3142"/>
    <w:rsid w:val="00FF390B"/>
    <w:rsid w:val="00FF66BE"/>
    <w:rsid w:val="00FF6791"/>
    <w:rsid w:val="00FF6C9D"/>
    <w:rsid w:val="00FF7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1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B51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515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FB51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FB5154"/>
  </w:style>
  <w:style w:type="paragraph" w:styleId="Pieddepage">
    <w:name w:val="footer"/>
    <w:basedOn w:val="Normal"/>
    <w:link w:val="PieddepageCar"/>
    <w:uiPriority w:val="99"/>
    <w:unhideWhenUsed/>
    <w:rsid w:val="00FB51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5154"/>
  </w:style>
  <w:style w:type="paragraph" w:styleId="Paragraphedeliste">
    <w:name w:val="List Paragraph"/>
    <w:basedOn w:val="Normal"/>
    <w:uiPriority w:val="34"/>
    <w:qFormat/>
    <w:rsid w:val="00FB515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51E40"/>
    <w:rPr>
      <w:color w:val="0000FF"/>
      <w:u w:val="single"/>
    </w:rPr>
  </w:style>
  <w:style w:type="character" w:customStyle="1" w:styleId="hps">
    <w:name w:val="hps"/>
    <w:basedOn w:val="Policepardfaut"/>
    <w:rsid w:val="009569BA"/>
  </w:style>
  <w:style w:type="table" w:styleId="Grilledutableau">
    <w:name w:val="Table Grid"/>
    <w:basedOn w:val="TableauNormal"/>
    <w:uiPriority w:val="59"/>
    <w:rsid w:val="00751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8361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1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B51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515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FB51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FB5154"/>
  </w:style>
  <w:style w:type="paragraph" w:styleId="Pieddepage">
    <w:name w:val="footer"/>
    <w:basedOn w:val="Normal"/>
    <w:link w:val="PieddepageCar"/>
    <w:uiPriority w:val="99"/>
    <w:unhideWhenUsed/>
    <w:rsid w:val="00FB51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5154"/>
  </w:style>
  <w:style w:type="paragraph" w:styleId="Paragraphedeliste">
    <w:name w:val="List Paragraph"/>
    <w:basedOn w:val="Normal"/>
    <w:uiPriority w:val="34"/>
    <w:qFormat/>
    <w:rsid w:val="00FB515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51E40"/>
    <w:rPr>
      <w:color w:val="0000FF"/>
      <w:u w:val="single"/>
    </w:rPr>
  </w:style>
  <w:style w:type="character" w:customStyle="1" w:styleId="hps">
    <w:name w:val="hps"/>
    <w:basedOn w:val="Policepardfaut"/>
    <w:rsid w:val="009569BA"/>
  </w:style>
  <w:style w:type="table" w:styleId="Grilledutableau">
    <w:name w:val="Table Grid"/>
    <w:basedOn w:val="TableauNormal"/>
    <w:uiPriority w:val="59"/>
    <w:rsid w:val="00751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8361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style val="26"/>
  <c:chart>
    <c:autoTitleDeleted val="1"/>
    <c:plotArea>
      <c:layout>
        <c:manualLayout>
          <c:layoutTarget val="inner"/>
          <c:xMode val="edge"/>
          <c:yMode val="edge"/>
          <c:x val="5.0551032689046344E-2"/>
          <c:y val="4.4226941045093005E-2"/>
          <c:w val="0.93314896888254717"/>
          <c:h val="0.86293050401385363"/>
        </c:manualLayout>
      </c:layout>
      <c:barChart>
        <c:barDir val="col"/>
        <c:grouping val="clustered"/>
        <c:ser>
          <c:idx val="0"/>
          <c:order val="0"/>
          <c:tx>
            <c:strRef>
              <c:f>'tableau note ar'!$A$2</c:f>
              <c:strCache>
                <c:ptCount val="1"/>
                <c:pt idx="0">
                  <c:v>Indice de Confiance des Ménages</c:v>
                </c:pt>
              </c:strCache>
            </c:strRef>
          </c:tx>
          <c:dPt>
            <c:idx val="6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61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64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65"/>
            <c:spPr>
              <a:solidFill>
                <a:schemeClr val="accent1">
                  <a:lumMod val="50000"/>
                </a:schemeClr>
              </a:solidFill>
            </c:spPr>
          </c:dPt>
          <c:dLbls>
            <c:dLbl>
              <c:idx val="61"/>
              <c:layout>
                <c:manualLayout>
                  <c:x val="-1.9492666010979161E-3"/>
                  <c:y val="-4.4447791473974782E-3"/>
                </c:manualLayout>
              </c:layout>
              <c:showVal val="1"/>
            </c:dLbl>
            <c:dLbl>
              <c:idx val="64"/>
              <c:layout>
                <c:manualLayout>
                  <c:x val="-3.9174030110998986E-3"/>
                  <c:y val="4.3735787010254481E-3"/>
                </c:manualLayout>
              </c:layout>
              <c:showVal val="1"/>
            </c:dLbl>
            <c:dLbl>
              <c:idx val="65"/>
              <c:layout>
                <c:manualLayout>
                  <c:x val="0"/>
                  <c:y val="-3.0567685589519725E-2"/>
                </c:manualLayout>
              </c:layout>
              <c:showVal val="1"/>
            </c:dLbl>
            <c:delete val="1"/>
          </c:dLbls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ar'!$B$2:$BO$2</c:f>
              <c:numCache>
                <c:formatCode>0.0</c:formatCode>
                <c:ptCount val="66"/>
                <c:pt idx="0">
                  <c:v>85.866502294191648</c:v>
                </c:pt>
                <c:pt idx="1">
                  <c:v>77.678707955852971</c:v>
                </c:pt>
                <c:pt idx="2">
                  <c:v>75.552480635756325</c:v>
                </c:pt>
                <c:pt idx="3">
                  <c:v>80.136884034904426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80.136086093619085</c:v>
                </c:pt>
                <c:pt idx="9">
                  <c:v>78.833388330574124</c:v>
                </c:pt>
                <c:pt idx="10">
                  <c:v>78.629956901853419</c:v>
                </c:pt>
                <c:pt idx="11">
                  <c:v>74.744893710814793</c:v>
                </c:pt>
                <c:pt idx="12">
                  <c:v>78.406406130604708</c:v>
                </c:pt>
                <c:pt idx="13">
                  <c:v>85.789532632532499</c:v>
                </c:pt>
                <c:pt idx="14">
                  <c:v>86.506225251482533</c:v>
                </c:pt>
                <c:pt idx="15">
                  <c:v>84.47721469487719</c:v>
                </c:pt>
                <c:pt idx="16">
                  <c:v>82.880478542821422</c:v>
                </c:pt>
                <c:pt idx="17">
                  <c:v>80.673652783725359</c:v>
                </c:pt>
                <c:pt idx="18">
                  <c:v>77.553867036569258</c:v>
                </c:pt>
                <c:pt idx="19">
                  <c:v>78.403353681349671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74.110620959006027</c:v>
                </c:pt>
                <c:pt idx="25">
                  <c:v>74.014553099961688</c:v>
                </c:pt>
                <c:pt idx="26">
                  <c:v>73.148145370690258</c:v>
                </c:pt>
                <c:pt idx="27">
                  <c:v>71.583460003653656</c:v>
                </c:pt>
                <c:pt idx="28">
                  <c:v>73.659282965035374</c:v>
                </c:pt>
                <c:pt idx="29">
                  <c:v>76.125099572807827</c:v>
                </c:pt>
                <c:pt idx="30">
                  <c:v>76.315005733685894</c:v>
                </c:pt>
                <c:pt idx="31">
                  <c:v>77.131028825386352</c:v>
                </c:pt>
                <c:pt idx="32">
                  <c:v>71.648499016392478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87.279337774029159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79.104981863169698</c:v>
                </c:pt>
                <c:pt idx="45">
                  <c:v>74.905107002702309</c:v>
                </c:pt>
                <c:pt idx="46">
                  <c:v>74.821311833193818</c:v>
                </c:pt>
                <c:pt idx="47">
                  <c:v>77.783342120372509</c:v>
                </c:pt>
                <c:pt idx="48">
                  <c:v>75.733160637772528</c:v>
                </c:pt>
                <c:pt idx="49">
                  <c:v>65.597735117391323</c:v>
                </c:pt>
                <c:pt idx="50">
                  <c:v>60.6</c:v>
                </c:pt>
                <c:pt idx="51">
                  <c:v>61.15460503678139</c:v>
                </c:pt>
                <c:pt idx="52">
                  <c:v>68.3</c:v>
                </c:pt>
                <c:pt idx="53">
                  <c:v>62.975895024721467</c:v>
                </c:pt>
                <c:pt idx="54">
                  <c:v>65.469321461685027</c:v>
                </c:pt>
                <c:pt idx="55">
                  <c:v>61.244838328447536</c:v>
                </c:pt>
                <c:pt idx="56">
                  <c:v>53.745567465683735</c:v>
                </c:pt>
                <c:pt idx="57">
                  <c:v>50.111231811293351</c:v>
                </c:pt>
                <c:pt idx="58">
                  <c:v>47.411849848039999</c:v>
                </c:pt>
                <c:pt idx="59">
                  <c:v>46.606895890263495</c:v>
                </c:pt>
                <c:pt idx="60">
                  <c:v>46.297927716965162</c:v>
                </c:pt>
                <c:pt idx="61">
                  <c:v>45.357586401620722</c:v>
                </c:pt>
                <c:pt idx="62">
                  <c:v>46.469404550193055</c:v>
                </c:pt>
                <c:pt idx="63">
                  <c:v>44.291134204764113</c:v>
                </c:pt>
                <c:pt idx="64">
                  <c:v>45.339311881310486</c:v>
                </c:pt>
                <c:pt idx="65">
                  <c:v>46.148565317993288</c:v>
                </c:pt>
              </c:numCache>
            </c:numRef>
          </c:val>
        </c:ser>
        <c:axId val="118196864"/>
        <c:axId val="118202752"/>
      </c:barChart>
      <c:catAx>
        <c:axId val="11819686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500"/>
            </a:pPr>
            <a:endParaRPr lang="fr-FR"/>
          </a:p>
        </c:txPr>
        <c:crossAx val="118202752"/>
        <c:crosses val="autoZero"/>
        <c:auto val="1"/>
        <c:lblAlgn val="ctr"/>
        <c:lblOffset val="100"/>
      </c:catAx>
      <c:valAx>
        <c:axId val="118202752"/>
        <c:scaling>
          <c:orientation val="minMax"/>
          <c:max val="90"/>
        </c:scaling>
        <c:axPos val="l"/>
        <c:numFmt formatCode="0" sourceLinked="0"/>
        <c:majorTickMark val="none"/>
        <c:tickLblPos val="nextTo"/>
        <c:crossAx val="118196864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1336275836614362E-2"/>
          <c:y val="5.5891384900417028E-2"/>
          <c:w val="0.93381643700787464"/>
          <c:h val="0.74816257526632657"/>
        </c:manualLayout>
      </c:layout>
      <c:lineChart>
        <c:grouping val="standard"/>
        <c:ser>
          <c:idx val="0"/>
          <c:order val="0"/>
          <c:tx>
            <c:strRef>
              <c:f>'tableau note ar'!$A$4</c:f>
              <c:strCache>
                <c:ptCount val="1"/>
                <c:pt idx="0">
                  <c:v>التطور السابق لمستوى المعيشة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ar'!$B$4:$BO$4</c:f>
              <c:numCache>
                <c:formatCode>#,##0.0</c:formatCode>
                <c:ptCount val="66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-31.141291421499741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-25.723634629572995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-37.236760344983423</c:v>
                </c:pt>
                <c:pt idx="12">
                  <c:v>-26.050959167650092</c:v>
                </c:pt>
                <c:pt idx="13">
                  <c:v>-16.961438303130873</c:v>
                </c:pt>
                <c:pt idx="14">
                  <c:v>-13.439142519852021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-28.088708351168663</c:v>
                </c:pt>
                <c:pt idx="20">
                  <c:v>-29.212341127418195</c:v>
                </c:pt>
                <c:pt idx="21">
                  <c:v>-23.102864483982081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-17.387590506775616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-22.864633579953775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-17.46422557458931</c:v>
                </c:pt>
                <c:pt idx="36">
                  <c:v>-11.990228520502567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General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-25.353008106891505</c:v>
                </c:pt>
                <c:pt idx="46" formatCode="0.0">
                  <c:v>-20.237097183526259</c:v>
                </c:pt>
                <c:pt idx="47" formatCode="0.0">
                  <c:v>-19.996896512157317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 formatCode="0.0">
                  <c:v>-35.633876933169311</c:v>
                </c:pt>
                <c:pt idx="51" formatCode="0.0">
                  <c:v>-46.607458922581898</c:v>
                </c:pt>
                <c:pt idx="52" formatCode="0.0">
                  <c:v>-50.5</c:v>
                </c:pt>
                <c:pt idx="53" formatCode="0.0">
                  <c:v>-50.789884569181048</c:v>
                </c:pt>
                <c:pt idx="54" formatCode="0.0">
                  <c:v>-41.509403430971062</c:v>
                </c:pt>
                <c:pt idx="55" formatCode="0.0">
                  <c:v>-55.207171712499431</c:v>
                </c:pt>
                <c:pt idx="56" formatCode="0.0">
                  <c:v>-66.848800336369479</c:v>
                </c:pt>
                <c:pt idx="57" formatCode="0.0">
                  <c:v>-72.973367191898419</c:v>
                </c:pt>
                <c:pt idx="58" formatCode="0.0">
                  <c:v>-74.584296237560608</c:v>
                </c:pt>
                <c:pt idx="59" formatCode="0.0">
                  <c:v>-77.955196192924419</c:v>
                </c:pt>
                <c:pt idx="60" formatCode="0.0">
                  <c:v>-81.53758164563699</c:v>
                </c:pt>
                <c:pt idx="61" formatCode="0.0">
                  <c:v>-84.602763632049999</c:v>
                </c:pt>
                <c:pt idx="62" formatCode="0.0">
                  <c:v>-81.540450582650379</c:v>
                </c:pt>
                <c:pt idx="63" formatCode="###0.0">
                  <c:v>-83.236047171895848</c:v>
                </c:pt>
                <c:pt idx="64" formatCode="###0.0">
                  <c:v>-78.092789389410072</c:v>
                </c:pt>
                <c:pt idx="65" formatCode="###0.0">
                  <c:v>-78.164555530203714</c:v>
                </c:pt>
              </c:numCache>
            </c:numRef>
          </c:val>
        </c:ser>
        <c:ser>
          <c:idx val="1"/>
          <c:order val="1"/>
          <c:tx>
            <c:strRef>
              <c:f>'tableau note ar'!$A$5</c:f>
              <c:strCache>
                <c:ptCount val="1"/>
                <c:pt idx="0">
                  <c:v>التطور المستقبلي لمستوى المعيشة</c:v>
                </c:pt>
              </c:strCache>
            </c:strRef>
          </c:tx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ar'!$B$5:$BO$5</c:f>
              <c:numCache>
                <c:formatCode>#,##0.0</c:formatCode>
                <c:ptCount val="66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8.4334302751112963E-2</c:v>
                </c:pt>
                <c:pt idx="7">
                  <c:v>2.1853913991610052</c:v>
                </c:pt>
                <c:pt idx="8">
                  <c:v>0.39154986438085676</c:v>
                </c:pt>
                <c:pt idx="9">
                  <c:v>2.7314646872285109</c:v>
                </c:pt>
                <c:pt idx="10">
                  <c:v>0.19418325799955105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18.132139936578788</c:v>
                </c:pt>
                <c:pt idx="14">
                  <c:v>11.870106120928298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-4.206860844830647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-11.389732068783616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-12.672429336417762</c:v>
                </c:pt>
                <c:pt idx="28">
                  <c:v>-8.8537661336825266</c:v>
                </c:pt>
                <c:pt idx="29">
                  <c:v>-7.2727206831161837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11.056984366480354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General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9.9894562713734363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 formatCode="0.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0.23038768840290039</c:v>
                </c:pt>
                <c:pt idx="54" formatCode="0.0">
                  <c:v>9.3481827020713499</c:v>
                </c:pt>
                <c:pt idx="55" formatCode="0.0">
                  <c:v>-1.3718594161528617</c:v>
                </c:pt>
                <c:pt idx="56" formatCode="0.0">
                  <c:v>-21.440746708881587</c:v>
                </c:pt>
                <c:pt idx="57" formatCode="0.0">
                  <c:v>-34.307671667317287</c:v>
                </c:pt>
                <c:pt idx="58" formatCode="0.0">
                  <c:v>-41.560642466335395</c:v>
                </c:pt>
                <c:pt idx="59" formatCode="0.0">
                  <c:v>-43.041302609193096</c:v>
                </c:pt>
                <c:pt idx="60" formatCode="0.0">
                  <c:v>-38.777551768230154</c:v>
                </c:pt>
                <c:pt idx="61" formatCode="0.0">
                  <c:v>-43.671200534104102</c:v>
                </c:pt>
                <c:pt idx="62" formatCode="0.0">
                  <c:v>-41.711189325198177</c:v>
                </c:pt>
                <c:pt idx="63" formatCode="###0.0">
                  <c:v>-48.994448977266359</c:v>
                </c:pt>
                <c:pt idx="64" formatCode="###0.0">
                  <c:v>-47.314289216263752</c:v>
                </c:pt>
                <c:pt idx="65" formatCode="###0.0">
                  <c:v>-46.108012836936034</c:v>
                </c:pt>
              </c:numCache>
            </c:numRef>
          </c:val>
        </c:ser>
        <c:marker val="1"/>
        <c:axId val="118214656"/>
        <c:axId val="118216192"/>
      </c:lineChart>
      <c:catAx>
        <c:axId val="11821465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8216192"/>
        <c:crosses val="autoZero"/>
        <c:auto val="1"/>
        <c:lblAlgn val="ctr"/>
        <c:lblOffset val="100"/>
      </c:catAx>
      <c:valAx>
        <c:axId val="118216192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2146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1273375984251864E-2"/>
          <c:y val="0.92916790180639042"/>
          <c:w val="0.91307824803149662"/>
          <c:h val="5.3185039370078742E-2"/>
        </c:manualLayout>
      </c:layout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7102934248603833E-2"/>
          <c:y val="9.7251908396946765E-2"/>
          <c:w val="0.92594656437176126"/>
          <c:h val="0.80487197211035766"/>
        </c:manualLayout>
      </c:layout>
      <c:lineChart>
        <c:grouping val="standard"/>
        <c:ser>
          <c:idx val="0"/>
          <c:order val="0"/>
          <c:tx>
            <c:strRef>
              <c:f>'tableau note ar'!$A$3</c:f>
              <c:strCache>
                <c:ptCount val="1"/>
                <c:pt idx="0">
                  <c:v>التطور المستقبلي للبطالة</c:v>
                </c:pt>
              </c:strCache>
            </c:strRef>
          </c:tx>
          <c:marker>
            <c:symbol val="none"/>
          </c:marker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ar'!$B$3:$BO$3</c:f>
              <c:numCache>
                <c:formatCode>#,##0.0</c:formatCode>
                <c:ptCount val="66"/>
                <c:pt idx="0">
                  <c:v>-52.095692279179239</c:v>
                </c:pt>
                <c:pt idx="1">
                  <c:v>-56.601297669293238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-57.930600458568442</c:v>
                </c:pt>
                <c:pt idx="7">
                  <c:v>-57.517749523976484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-52.335316844022486</c:v>
                </c:pt>
                <c:pt idx="12">
                  <c:v>-52.408437207990296</c:v>
                </c:pt>
                <c:pt idx="13">
                  <c:v>-45.98227848623344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-66.493969881109308</c:v>
                </c:pt>
                <c:pt idx="26">
                  <c:v>-68.825577821249809</c:v>
                </c:pt>
                <c:pt idx="27">
                  <c:v>-68.019160185663324</c:v>
                </c:pt>
                <c:pt idx="28">
                  <c:v>-65.155740215393564</c:v>
                </c:pt>
                <c:pt idx="29">
                  <c:v>-67.056481822589518</c:v>
                </c:pt>
                <c:pt idx="30">
                  <c:v>-66.189276460398091</c:v>
                </c:pt>
                <c:pt idx="31">
                  <c:v>-64.100777949741683</c:v>
                </c:pt>
                <c:pt idx="32">
                  <c:v>-67.734442836360884</c:v>
                </c:pt>
                <c:pt idx="33">
                  <c:v>-68.976178952187595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-59.886763094223113</c:v>
                </c:pt>
                <c:pt idx="39">
                  <c:v>-58.5</c:v>
                </c:pt>
                <c:pt idx="40">
                  <c:v>-54.525998602090162</c:v>
                </c:pt>
                <c:pt idx="41" formatCode="General">
                  <c:v>-61.706282712863526</c:v>
                </c:pt>
                <c:pt idx="42" formatCode="0.0">
                  <c:v>-65.247643368132202</c:v>
                </c:pt>
                <c:pt idx="43" formatCode="0.0">
                  <c:v>-70</c:v>
                </c:pt>
                <c:pt idx="44" formatCode="0.0">
                  <c:v>-75.565732444458746</c:v>
                </c:pt>
                <c:pt idx="45" formatCode="0.0">
                  <c:v>-76.905120512383789</c:v>
                </c:pt>
                <c:pt idx="46" formatCode="0.0">
                  <c:v>-71.817697941940551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-75.168553605935415</c:v>
                </c:pt>
                <c:pt idx="50" formatCode="0.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-78.313406558982848</c:v>
                </c:pt>
                <c:pt idx="55" formatCode="0.0">
                  <c:v>-77.577031249355031</c:v>
                </c:pt>
                <c:pt idx="56" formatCode="0.0">
                  <c:v>-82.803590957343502</c:v>
                </c:pt>
                <c:pt idx="57" formatCode="0.0">
                  <c:v>-81.13998967210614</c:v>
                </c:pt>
                <c:pt idx="58" formatCode="0.0">
                  <c:v>-83.498658671309315</c:v>
                </c:pt>
                <c:pt idx="59" formatCode="0.0">
                  <c:v>-79.636069225786045</c:v>
                </c:pt>
                <c:pt idx="60" formatCode="0.0">
                  <c:v>-81.38954071319634</c:v>
                </c:pt>
                <c:pt idx="61" formatCode="0.0">
                  <c:v>-80.426725462017416</c:v>
                </c:pt>
                <c:pt idx="62" formatCode="0.0">
                  <c:v>-81.916897779373627</c:v>
                </c:pt>
                <c:pt idx="63" formatCode="###0.0">
                  <c:v>-80.309196989481379</c:v>
                </c:pt>
                <c:pt idx="64" formatCode="###0.0">
                  <c:v>-77.526473493511418</c:v>
                </c:pt>
                <c:pt idx="65" formatCode="###0.0">
                  <c:v>-76.170799849846219</c:v>
                </c:pt>
              </c:numCache>
            </c:numRef>
          </c:val>
        </c:ser>
        <c:marker val="1"/>
        <c:axId val="118461184"/>
        <c:axId val="118462720"/>
      </c:lineChart>
      <c:catAx>
        <c:axId val="118461184"/>
        <c:scaling>
          <c:orientation val="minMax"/>
        </c:scaling>
        <c:axPos val="b"/>
        <c:numFmt formatCode="General" sourceLinked="1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8462720"/>
        <c:crosses val="autoZero"/>
        <c:auto val="1"/>
        <c:lblAlgn val="ctr"/>
        <c:lblOffset val="100"/>
      </c:catAx>
      <c:valAx>
        <c:axId val="118462720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461184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3217855763263001E-2"/>
          <c:y val="6.6079396325459325E-2"/>
          <c:w val="0.93805946593291756"/>
          <c:h val="0.85350393700787464"/>
        </c:manualLayout>
      </c:layout>
      <c:lineChart>
        <c:grouping val="standard"/>
        <c:ser>
          <c:idx val="0"/>
          <c:order val="0"/>
          <c:tx>
            <c:strRef>
              <c:f>'tableau note ar'!$A$6</c:f>
              <c:strCache>
                <c:ptCount val="1"/>
                <c:pt idx="0">
                  <c:v>فرص اقتناء السلع المستديمة</c:v>
                </c:pt>
              </c:strCache>
            </c:strRef>
          </c:tx>
          <c:marker>
            <c:symbol val="none"/>
          </c:marker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ar'!$B$6:$BO$6</c:f>
              <c:numCache>
                <c:formatCode>#,##0.0</c:formatCode>
                <c:ptCount val="66"/>
                <c:pt idx="0">
                  <c:v>-30.018449770831776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-41.765350509033965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-34.756506471721544</c:v>
                </c:pt>
                <c:pt idx="9">
                  <c:v>-37.532519098271891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-39.860076277616699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-37.388587169100454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-28.348240299081684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-37.509325471422429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-39.999291784066401</c:v>
                </c:pt>
                <c:pt idx="37">
                  <c:v>-28.160977836062902</c:v>
                </c:pt>
                <c:pt idx="38">
                  <c:v>-31.475843594428074</c:v>
                </c:pt>
                <c:pt idx="39">
                  <c:v>-25.6</c:v>
                </c:pt>
                <c:pt idx="40">
                  <c:v>-27.18964434216452</c:v>
                </c:pt>
                <c:pt idx="41" formatCode="General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-37.730567473068348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 formatCode="0.0">
                  <c:v>-63.469757370471974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-61.974386136345984</c:v>
                </c:pt>
                <c:pt idx="55" formatCode="0.0">
                  <c:v>-62.794548879325561</c:v>
                </c:pt>
                <c:pt idx="56" formatCode="0.0">
                  <c:v>-66.694844970978195</c:v>
                </c:pt>
                <c:pt idx="57" formatCode="0.0">
                  <c:v>-69.145089033375214</c:v>
                </c:pt>
                <c:pt idx="58" formatCode="0.0">
                  <c:v>-74.005196986116957</c:v>
                </c:pt>
                <c:pt idx="59" formatCode="0.0">
                  <c:v>-70.308042764648889</c:v>
                </c:pt>
                <c:pt idx="60" formatCode="0.0">
                  <c:v>-69.793610379094631</c:v>
                </c:pt>
                <c:pt idx="61" formatCode="0.0">
                  <c:v>-68.920694966427703</c:v>
                </c:pt>
                <c:pt idx="62" formatCode="0.0">
                  <c:v>-71.5</c:v>
                </c:pt>
                <c:pt idx="63" formatCode="###0.0">
                  <c:v>-70.412710928240756</c:v>
                </c:pt>
                <c:pt idx="64" formatCode="###0.0">
                  <c:v>-72.89367097061033</c:v>
                </c:pt>
                <c:pt idx="65" formatCode="###0.0">
                  <c:v>-69.358984535014159</c:v>
                </c:pt>
              </c:numCache>
            </c:numRef>
          </c:val>
        </c:ser>
        <c:marker val="1"/>
        <c:axId val="118481664"/>
        <c:axId val="118483200"/>
      </c:lineChart>
      <c:catAx>
        <c:axId val="118481664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8483200"/>
        <c:crosses val="autoZero"/>
        <c:auto val="1"/>
        <c:lblAlgn val="ctr"/>
        <c:lblOffset val="100"/>
      </c:catAx>
      <c:valAx>
        <c:axId val="118483200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lang="en-US" sz="900"/>
            </a:pPr>
            <a:endParaRPr lang="fr-FR"/>
          </a:p>
        </c:txPr>
        <c:crossAx val="118481664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2764120528241245E-2"/>
          <c:y val="5.4071541057367813E-2"/>
          <c:w val="0.94229229958460003"/>
          <c:h val="0.80385286839145109"/>
        </c:manualLayout>
      </c:layout>
      <c:lineChart>
        <c:grouping val="standard"/>
        <c:ser>
          <c:idx val="0"/>
          <c:order val="0"/>
          <c:tx>
            <c:strRef>
              <c:f>'tableau note ar'!$A$7</c:f>
              <c:strCache>
                <c:ptCount val="1"/>
                <c:pt idx="0">
                  <c:v>الوضعية المالية الحالية للأسرة</c:v>
                </c:pt>
              </c:strCache>
            </c:strRef>
          </c:tx>
          <c:marker>
            <c:symbol val="square"/>
            <c:size val="5"/>
          </c:marker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ar'!$B$7:$BO$7</c:f>
              <c:numCache>
                <c:formatCode>#,##0.0</c:formatCode>
                <c:ptCount val="66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-28.062624892496302</c:v>
                </c:pt>
                <c:pt idx="12">
                  <c:v>-30.64549893190372</c:v>
                </c:pt>
                <c:pt idx="13">
                  <c:v>-27.092549889444303</c:v>
                </c:pt>
                <c:pt idx="14">
                  <c:v>-24.28899054728441</c:v>
                </c:pt>
                <c:pt idx="15">
                  <c:v>-25.66971218134972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-30.846093343724188</c:v>
                </c:pt>
                <c:pt idx="19">
                  <c:v>-29.426966691861256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-29.484131282651209</c:v>
                </c:pt>
                <c:pt idx="23">
                  <c:v>-29.485585569479941</c:v>
                </c:pt>
                <c:pt idx="24">
                  <c:v>-31.290770339915035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-30.637429411694061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-25.699936983325859</c:v>
                </c:pt>
                <c:pt idx="32">
                  <c:v>-27.232686212381406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-28.725836843764029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-25.236685531801324</c:v>
                </c:pt>
                <c:pt idx="41" formatCode="General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-28.874306637901327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-27.711995909750648</c:v>
                </c:pt>
                <c:pt idx="49" formatCode="0.0">
                  <c:v>-29.955220894721631</c:v>
                </c:pt>
                <c:pt idx="50" formatCode="0.0">
                  <c:v>-31.50482545170048</c:v>
                </c:pt>
                <c:pt idx="51" formatCode="0.0">
                  <c:v>-29.083585505842859</c:v>
                </c:pt>
                <c:pt idx="52" formatCode="0.0">
                  <c:v>-34.4</c:v>
                </c:pt>
                <c:pt idx="53" formatCode="0.0">
                  <c:v>-38.035486047325477</c:v>
                </c:pt>
                <c:pt idx="54" formatCode="0.0">
                  <c:v>-36.428256542769461</c:v>
                </c:pt>
                <c:pt idx="55" formatCode="0.0">
                  <c:v>-40.395301048613071</c:v>
                </c:pt>
                <c:pt idx="56" formatCode="0.0">
                  <c:v>-43.360121736390973</c:v>
                </c:pt>
                <c:pt idx="57" formatCode="0.0">
                  <c:v>-42.859520384168782</c:v>
                </c:pt>
                <c:pt idx="58" formatCode="0.0">
                  <c:v>-40.852070365263728</c:v>
                </c:pt>
                <c:pt idx="59" formatCode="0.0">
                  <c:v>-42.07326291523227</c:v>
                </c:pt>
                <c:pt idx="60" formatCode="0.0">
                  <c:v>-42.039252344626163</c:v>
                </c:pt>
                <c:pt idx="61" formatCode="0.0">
                  <c:v>-41.443683343818755</c:v>
                </c:pt>
                <c:pt idx="62" formatCode="0.0">
                  <c:v>-40.15308778785419</c:v>
                </c:pt>
                <c:pt idx="63" formatCode="###0.0">
                  <c:v>-40.292970217529181</c:v>
                </c:pt>
                <c:pt idx="64" formatCode="###0.0">
                  <c:v>-40.642848388770993</c:v>
                </c:pt>
                <c:pt idx="65" formatCode="###0.0">
                  <c:v>-40.021764603960257</c:v>
                </c:pt>
              </c:numCache>
            </c:numRef>
          </c:val>
        </c:ser>
        <c:ser>
          <c:idx val="1"/>
          <c:order val="1"/>
          <c:tx>
            <c:strRef>
              <c:f>'tableau note ar'!$A$8</c:f>
              <c:strCache>
                <c:ptCount val="1"/>
                <c:pt idx="0">
                  <c:v>التطور السابق للوضعية المالية للأسرة</c:v>
                </c:pt>
              </c:strCache>
            </c:strRef>
          </c:tx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ar'!$B$8:$BO$8</c:f>
              <c:numCache>
                <c:formatCode>#,##0.0</c:formatCode>
                <c:ptCount val="66"/>
                <c:pt idx="0">
                  <c:v>-11.760493904860514</c:v>
                </c:pt>
                <c:pt idx="1">
                  <c:v>-11.376439540974181</c:v>
                </c:pt>
                <c:pt idx="2">
                  <c:v>-11.707546774199256</c:v>
                </c:pt>
                <c:pt idx="3">
                  <c:v>-9.5250570435126427</c:v>
                </c:pt>
                <c:pt idx="4">
                  <c:v>-18.438210074457348</c:v>
                </c:pt>
                <c:pt idx="5">
                  <c:v>-13.353492384896771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-9.8004349690184114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-21.891965579068515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-29.150994705705731</c:v>
                </c:pt>
                <c:pt idx="28">
                  <c:v>-26.965288381475755</c:v>
                </c:pt>
                <c:pt idx="29">
                  <c:v>-20.216971341645095</c:v>
                </c:pt>
                <c:pt idx="30">
                  <c:v>-20.789363149769265</c:v>
                </c:pt>
                <c:pt idx="31">
                  <c:v>-18.50333400384844</c:v>
                </c:pt>
                <c:pt idx="32">
                  <c:v>-27.39802285641521</c:v>
                </c:pt>
                <c:pt idx="33">
                  <c:v>-22.820131487915329</c:v>
                </c:pt>
                <c:pt idx="34">
                  <c:v>-26.987361336961175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-14.506801572644624</c:v>
                </c:pt>
                <c:pt idx="39">
                  <c:v>-16.7</c:v>
                </c:pt>
                <c:pt idx="40">
                  <c:v>-18.12020796730943</c:v>
                </c:pt>
                <c:pt idx="41" formatCode="General">
                  <c:v>-15.241299993196503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-26.020639530378226</c:v>
                </c:pt>
                <c:pt idx="47" formatCode="0.0">
                  <c:v>-22.058531326387186</c:v>
                </c:pt>
                <c:pt idx="48" formatCode="0.0">
                  <c:v>-22.878127876162257</c:v>
                </c:pt>
                <c:pt idx="49" formatCode="0.0">
                  <c:v>-26.986745192981445</c:v>
                </c:pt>
                <c:pt idx="50" formatCode="0.0">
                  <c:v>-33.978821699551595</c:v>
                </c:pt>
                <c:pt idx="51" formatCode="0.0">
                  <c:v>-39.90109851869709</c:v>
                </c:pt>
                <c:pt idx="52" formatCode="0.0">
                  <c:v>-47.4</c:v>
                </c:pt>
                <c:pt idx="53" formatCode="0.0">
                  <c:v>-49.983603873811994</c:v>
                </c:pt>
                <c:pt idx="54" formatCode="0.0">
                  <c:v>-47.976189869600475</c:v>
                </c:pt>
                <c:pt idx="55" formatCode="0.0">
                  <c:v>-48.996187860965861</c:v>
                </c:pt>
                <c:pt idx="56" formatCode="0.0">
                  <c:v>-50.91498936521694</c:v>
                </c:pt>
                <c:pt idx="57" formatCode="0.0">
                  <c:v>-48.69573937207943</c:v>
                </c:pt>
                <c:pt idx="58" formatCode="0.0">
                  <c:v>-47.705982595091868</c:v>
                </c:pt>
                <c:pt idx="59" formatCode="0.0">
                  <c:v>-52.997909819539807</c:v>
                </c:pt>
                <c:pt idx="60" formatCode="0.0">
                  <c:v>-57.178423227688718</c:v>
                </c:pt>
                <c:pt idx="61" formatCode="0.0">
                  <c:v>-57.331610038737644</c:v>
                </c:pt>
                <c:pt idx="62" formatCode="0.0">
                  <c:v>-53.292717144326573</c:v>
                </c:pt>
                <c:pt idx="63" formatCode="###0.0">
                  <c:v>-56.121074921872378</c:v>
                </c:pt>
                <c:pt idx="64" formatCode="###0.0">
                  <c:v>-52.724256191098604</c:v>
                </c:pt>
                <c:pt idx="65" formatCode="###0.0">
                  <c:v>-53.21922046669399</c:v>
                </c:pt>
              </c:numCache>
            </c:numRef>
          </c:val>
        </c:ser>
        <c:ser>
          <c:idx val="2"/>
          <c:order val="2"/>
          <c:tx>
            <c:strRef>
              <c:f>'tableau note ar'!$A$9</c:f>
              <c:strCache>
                <c:ptCount val="1"/>
                <c:pt idx="0">
                  <c:v>التطور المرتقب للوضعية المالية للأسرة</c:v>
                </c:pt>
              </c:strCache>
            </c:strRef>
          </c:tx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ar'!$B$9:$BO$9</c:f>
              <c:numCache>
                <c:formatCode>#,##0.0</c:formatCode>
                <c:ptCount val="66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26.705941849103173</c:v>
                </c:pt>
                <c:pt idx="4">
                  <c:v>26.769154239001914</c:v>
                </c:pt>
                <c:pt idx="5">
                  <c:v>21.986954089697061</c:v>
                </c:pt>
                <c:pt idx="6">
                  <c:v>17.532817766676509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11.776375704730492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20.354548457792731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11.230833640450321</c:v>
                </c:pt>
                <c:pt idx="17">
                  <c:v>11.136340416980383</c:v>
                </c:pt>
                <c:pt idx="18">
                  <c:v>7.6658451594012913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-1.7003971659207209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-3.9139038482871595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1.2373351928093994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25.92642448837821</c:v>
                </c:pt>
                <c:pt idx="41" formatCode="General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15.94903787101663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  <c:pt idx="53" formatCode="0.0">
                  <c:v>14.805679039075407</c:v>
                </c:pt>
                <c:pt idx="54" formatCode="0.0">
                  <c:v>15.138710068393648</c:v>
                </c:pt>
                <c:pt idx="55" formatCode="0.0">
                  <c:v>15.055968466044563</c:v>
                </c:pt>
                <c:pt idx="56" formatCode="0.0">
                  <c:v>8.282066334968075</c:v>
                </c:pt>
                <c:pt idx="57" formatCode="0.0">
                  <c:v>-0.1</c:v>
                </c:pt>
                <c:pt idx="58" formatCode="0.0">
                  <c:v>-5.9102037420420483</c:v>
                </c:pt>
                <c:pt idx="59" formatCode="0.0">
                  <c:v>-7.7399452408305418</c:v>
                </c:pt>
                <c:pt idx="60" formatCode="0.0">
                  <c:v>-5.1985459027706948</c:v>
                </c:pt>
                <c:pt idx="61" formatCode="0.0">
                  <c:v>-6.1002172114981841</c:v>
                </c:pt>
                <c:pt idx="62" formatCode="0.0">
                  <c:v>-4.5998255292449253</c:v>
                </c:pt>
                <c:pt idx="63" formatCode="###0.0">
                  <c:v>-10.595611360365607</c:v>
                </c:pt>
                <c:pt idx="64" formatCode="###0.0">
                  <c:v>-13.430489181160725</c:v>
                </c:pt>
                <c:pt idx="65" formatCode="###0.0">
                  <c:v>-13.916704951392704</c:v>
                </c:pt>
              </c:numCache>
            </c:numRef>
          </c:val>
        </c:ser>
        <c:marker val="1"/>
        <c:axId val="118368896"/>
        <c:axId val="118395264"/>
      </c:lineChart>
      <c:catAx>
        <c:axId val="118368896"/>
        <c:scaling>
          <c:orientation val="minMax"/>
        </c:scaling>
        <c:axPos val="b"/>
        <c:numFmt formatCode="General" sourceLinked="1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8395264"/>
        <c:crosses val="autoZero"/>
        <c:auto val="1"/>
        <c:lblAlgn val="ctr"/>
        <c:lblOffset val="100"/>
      </c:catAx>
      <c:valAx>
        <c:axId val="118395264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368896"/>
        <c:crosses val="autoZero"/>
        <c:crossBetween val="between"/>
      </c:valAx>
    </c:plotArea>
    <c:legend>
      <c:legendPos val="b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1523058938577467E-2"/>
          <c:y val="9.2828685164093774E-2"/>
          <c:w val="0.93969839209028416"/>
          <c:h val="0.73817583238049433"/>
        </c:manualLayout>
      </c:layout>
      <c:lineChart>
        <c:grouping val="standard"/>
        <c:ser>
          <c:idx val="0"/>
          <c:order val="0"/>
          <c:tx>
            <c:strRef>
              <c:f>'tableau note ar'!$A$11</c:f>
              <c:strCache>
                <c:ptCount val="1"/>
                <c:pt idx="0">
                  <c:v>التطور المرتقب لأسعار المواد الغذائية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ar'!$B$11:$BO$11</c:f>
              <c:numCache>
                <c:formatCode>#,##0.0</c:formatCode>
                <c:ptCount val="66"/>
                <c:pt idx="0">
                  <c:v>-74.061389031284818</c:v>
                </c:pt>
                <c:pt idx="1">
                  <c:v>-77.716574651610415</c:v>
                </c:pt>
                <c:pt idx="2">
                  <c:v>-78.940542419693813</c:v>
                </c:pt>
                <c:pt idx="3">
                  <c:v>-49.653420650313493</c:v>
                </c:pt>
                <c:pt idx="4">
                  <c:v>-34.869529990694446</c:v>
                </c:pt>
                <c:pt idx="5">
                  <c:v>-33.523065681383336</c:v>
                </c:pt>
                <c:pt idx="6">
                  <c:v>-50.919242344766445</c:v>
                </c:pt>
                <c:pt idx="7">
                  <c:v>-47.871947864454548</c:v>
                </c:pt>
                <c:pt idx="8">
                  <c:v>-46.515022811525846</c:v>
                </c:pt>
                <c:pt idx="9">
                  <c:v>-56.83293201142795</c:v>
                </c:pt>
                <c:pt idx="10">
                  <c:v>-62.176731306136944</c:v>
                </c:pt>
                <c:pt idx="11">
                  <c:v>-70.131788082404086</c:v>
                </c:pt>
                <c:pt idx="12">
                  <c:v>-73.412747182583786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-72.965887012434891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-73.578371466433779</c:v>
                </c:pt>
                <c:pt idx="19">
                  <c:v>-70.049698245525676</c:v>
                </c:pt>
                <c:pt idx="20">
                  <c:v>-76.096296687300708</c:v>
                </c:pt>
                <c:pt idx="21">
                  <c:v>-73.375476646911494</c:v>
                </c:pt>
                <c:pt idx="22">
                  <c:v>-76.007455926126042</c:v>
                </c:pt>
                <c:pt idx="23">
                  <c:v>-76.048555842624424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-76.898841721729696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-79.602800137507771</c:v>
                </c:pt>
                <c:pt idx="40">
                  <c:v>-82.909090889011466</c:v>
                </c:pt>
                <c:pt idx="41" formatCode="General">
                  <c:v>-84.024833717392056</c:v>
                </c:pt>
                <c:pt idx="42">
                  <c:v>-82.078038176837254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>
                  <c:v>-69.044082249116087</c:v>
                </c:pt>
                <c:pt idx="50" formatCode="0.0">
                  <c:v>-68.063522341730973</c:v>
                </c:pt>
                <c:pt idx="51" formatCode="0.0">
                  <c:v>-64.634662916008139</c:v>
                </c:pt>
                <c:pt idx="52" formatCode="0.0">
                  <c:v>-60.2</c:v>
                </c:pt>
                <c:pt idx="53" formatCode="0.0">
                  <c:v>-67.626807058147179</c:v>
                </c:pt>
                <c:pt idx="54" formatCode="0.0">
                  <c:v>-70.948472628894308</c:v>
                </c:pt>
                <c:pt idx="55" formatCode="0.0">
                  <c:v>-76.250623411131627</c:v>
                </c:pt>
                <c:pt idx="56" formatCode="0.0">
                  <c:v>-74.081138579650585</c:v>
                </c:pt>
                <c:pt idx="57" formatCode="0.0">
                  <c:v>-74.293813887540622</c:v>
                </c:pt>
                <c:pt idx="58" formatCode="0.0">
                  <c:v>-73.590712253861653</c:v>
                </c:pt>
                <c:pt idx="59" formatCode="0.0">
                  <c:v>-71.823546131746696</c:v>
                </c:pt>
                <c:pt idx="60" formatCode="0.0">
                  <c:v>-69.775201547129655</c:v>
                </c:pt>
                <c:pt idx="61" formatCode="0.0">
                  <c:v>-67.713945367946124</c:v>
                </c:pt>
                <c:pt idx="62" formatCode="0.0">
                  <c:v>-66.2</c:v>
                </c:pt>
                <c:pt idx="63" formatCode="###0.0">
                  <c:v>-77.566000852644706</c:v>
                </c:pt>
                <c:pt idx="64" formatCode="###0.0">
                  <c:v>-70.106316668884418</c:v>
                </c:pt>
                <c:pt idx="65" formatCode="###0.0">
                  <c:v>-79.136204837487099</c:v>
                </c:pt>
              </c:numCache>
            </c:numRef>
          </c:val>
        </c:ser>
        <c:ser>
          <c:idx val="1"/>
          <c:order val="1"/>
          <c:tx>
            <c:strRef>
              <c:f>'tableau note ar'!$A$12</c:f>
              <c:strCache>
                <c:ptCount val="1"/>
                <c:pt idx="0">
                  <c:v>التطور السابق لأسعار المواد الغذائية</c:v>
                </c:pt>
              </c:strCache>
            </c:strRef>
          </c:tx>
          <c:cat>
            <c:strRef>
              <c:f>'tableau note ar'!$B$1:$BO$1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ar'!$B$12:$BO$12</c:f>
              <c:numCache>
                <c:formatCode>#,##0.0</c:formatCode>
                <c:ptCount val="66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-83.278098478101384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-90.967802162493456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-89.924388392525955</c:v>
                </c:pt>
                <c:pt idx="15">
                  <c:v>-92.495216554147817</c:v>
                </c:pt>
                <c:pt idx="16">
                  <c:v>-91.625316584481681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-91.630328830979565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-84.135715875788975</c:v>
                </c:pt>
                <c:pt idx="26">
                  <c:v>-81.763249669623818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-84.284507159523685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-87.871778057968044</c:v>
                </c:pt>
                <c:pt idx="34">
                  <c:v>-87.672521775530839</c:v>
                </c:pt>
                <c:pt idx="35">
                  <c:v>-87.308587775463266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-82.805018292489322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General">
                  <c:v>-88.182833745436596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>
                  <c:v>-67.616999612935103</c:v>
                </c:pt>
                <c:pt idx="50" formatCode="0.0">
                  <c:v>-75.123128911649388</c:v>
                </c:pt>
                <c:pt idx="51" formatCode="0.0">
                  <c:v>-74.676635648394679</c:v>
                </c:pt>
                <c:pt idx="52" formatCode="0.0">
                  <c:v>-74</c:v>
                </c:pt>
                <c:pt idx="53" formatCode="0.0">
                  <c:v>-86.830108784480615</c:v>
                </c:pt>
                <c:pt idx="54" formatCode="0.0">
                  <c:v>-86.892269253653168</c:v>
                </c:pt>
                <c:pt idx="55" formatCode="0.0">
                  <c:v>-95.946419387502388</c:v>
                </c:pt>
                <c:pt idx="56" formatCode="0.0">
                  <c:v>-97.899492867529375</c:v>
                </c:pt>
                <c:pt idx="57" formatCode="0.0">
                  <c:v>-99.090827572349781</c:v>
                </c:pt>
                <c:pt idx="58" formatCode="0.0">
                  <c:v>-99.053454059204242</c:v>
                </c:pt>
                <c:pt idx="59" formatCode="0.0">
                  <c:v>-98.761441528769112</c:v>
                </c:pt>
                <c:pt idx="60" formatCode="0.0">
                  <c:v>-98.724700288378301</c:v>
                </c:pt>
                <c:pt idx="61" formatCode="0.0">
                  <c:v>-97.999403296955293</c:v>
                </c:pt>
                <c:pt idx="62" formatCode="0.0">
                  <c:v>-97.878392580040284</c:v>
                </c:pt>
                <c:pt idx="63" formatCode="###0.0">
                  <c:v>-97.443679394696687</c:v>
                </c:pt>
                <c:pt idx="64" formatCode="###0.0">
                  <c:v>-96.499726659589314</c:v>
                </c:pt>
                <c:pt idx="65" formatCode="###0.0">
                  <c:v>-96.014071274399114</c:v>
                </c:pt>
              </c:numCache>
            </c:numRef>
          </c:val>
        </c:ser>
        <c:marker val="1"/>
        <c:axId val="118411648"/>
        <c:axId val="118413184"/>
      </c:lineChart>
      <c:catAx>
        <c:axId val="118411648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 b="1"/>
            </a:pPr>
            <a:endParaRPr lang="fr-FR"/>
          </a:p>
        </c:txPr>
        <c:crossAx val="118413184"/>
        <c:crosses val="autoZero"/>
        <c:auto val="1"/>
        <c:lblAlgn val="ctr"/>
        <c:lblOffset val="100"/>
      </c:catAx>
      <c:valAx>
        <c:axId val="118413184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118411648"/>
        <c:crosses val="autoZero"/>
        <c:crossBetween val="between"/>
      </c:valAx>
    </c:plotArea>
    <c:legend>
      <c:legendPos val="b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256E3-3246-4E67-B478-62BDE09E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1274</Words>
  <Characters>7007</Characters>
  <Application>Microsoft Office Word</Application>
  <DocSecurity>0</DocSecurity>
  <Lines>58</Lines>
  <Paragraphs>16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Bakraoui</dc:creator>
  <cp:lastModifiedBy>HCP</cp:lastModifiedBy>
  <cp:revision>11</cp:revision>
  <cp:lastPrinted>2024-07-09T16:13:00Z</cp:lastPrinted>
  <dcterms:created xsi:type="dcterms:W3CDTF">2024-07-14T17:48:00Z</dcterms:created>
  <dcterms:modified xsi:type="dcterms:W3CDTF">2024-07-16T08:32:00Z</dcterms:modified>
</cp:coreProperties>
</file>