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charts/chart6.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footer1.xml" ContentType="application/vnd.openxmlformats-officedocument.wordprocessingml.footer+xml"/>
  <Override PartName="/word/theme/theme1.xml" ContentType="application/vnd.openxmlformats-officedocument.theme+xml"/>
  <Override PartName="/word/charts/chart2.xml" ContentType="application/vnd.openxmlformats-officedocument.drawingml.chart+xml"/>
  <Override PartName="/word/charts/chart3.xml" ContentType="application/vnd.openxmlformats-officedocument.drawingml.chart+xml"/>
  <Override PartName="/word/fontTable.xml" ContentType="application/vnd.openxmlformats-officedocument.wordprocessingml.fontTable+xml"/>
  <Override PartName="/word/webSettings.xml" ContentType="application/vnd.openxmlformats-officedocument.wordprocessingml.webSettings+xml"/>
  <Override PartName="/word/charts/chart1.xml" ContentType="application/vnd.openxmlformats-officedocument.drawingml.char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640D4" w:rsidRPr="00BD4B00" w:rsidRDefault="008640D4" w:rsidP="00BD4B00">
      <w:pPr>
        <w:spacing w:line="360" w:lineRule="auto"/>
        <w:jc w:val="both"/>
        <w:rPr>
          <w:rFonts w:asciiTheme="majorBidi" w:hAnsiTheme="majorBidi" w:cstheme="majorBidi"/>
          <w:sz w:val="28"/>
          <w:szCs w:val="28"/>
          <w:rtl/>
          <w:lang w:bidi="ar-DZ"/>
        </w:rPr>
      </w:pPr>
    </w:p>
    <w:p w:rsidR="00D9528F" w:rsidRPr="00BD4B00" w:rsidRDefault="00AD7F95" w:rsidP="00BD4B00">
      <w:pPr>
        <w:spacing w:line="360" w:lineRule="auto"/>
        <w:jc w:val="both"/>
        <w:rPr>
          <w:rFonts w:asciiTheme="majorBidi" w:hAnsiTheme="majorBidi" w:cstheme="majorBidi"/>
          <w:b/>
          <w:bCs/>
          <w:color w:val="943634"/>
          <w:sz w:val="28"/>
          <w:szCs w:val="28"/>
          <w:rtl/>
          <w:lang w:bidi="ar-MA"/>
        </w:rPr>
      </w:pPr>
      <w:r w:rsidRPr="00BD4B00">
        <w:rPr>
          <w:rFonts w:asciiTheme="majorBidi" w:hAnsiTheme="majorBidi" w:cstheme="majorBidi"/>
          <w:sz w:val="28"/>
          <w:szCs w:val="28"/>
          <w:lang w:bidi="ar-MA"/>
        </w:rPr>
        <w:t xml:space="preserve">           </w:t>
      </w:r>
      <w:r w:rsidR="00601C0B" w:rsidRPr="00BD4B00">
        <w:rPr>
          <w:rFonts w:asciiTheme="majorBidi" w:hAnsiTheme="majorBidi" w:cstheme="majorBidi"/>
          <w:sz w:val="28"/>
          <w:szCs w:val="28"/>
          <w:lang w:bidi="ar-MA"/>
        </w:rPr>
        <w:t xml:space="preserve">          </w:t>
      </w:r>
      <w:r w:rsidR="003228B0" w:rsidRPr="00BD4B00">
        <w:rPr>
          <w:rFonts w:asciiTheme="majorBidi" w:hAnsiTheme="majorBidi" w:cstheme="majorBidi"/>
          <w:sz w:val="28"/>
          <w:szCs w:val="28"/>
          <w:lang w:bidi="ar-MA"/>
        </w:rPr>
        <w:t xml:space="preserve">          </w:t>
      </w:r>
      <w:r w:rsidR="00016667" w:rsidRPr="00BD4B00">
        <w:rPr>
          <w:rFonts w:asciiTheme="majorBidi" w:hAnsiTheme="majorBidi" w:cstheme="majorBidi"/>
          <w:sz w:val="28"/>
          <w:szCs w:val="28"/>
          <w:lang w:bidi="ar-MA"/>
        </w:rPr>
        <w:t xml:space="preserve">               </w:t>
      </w:r>
      <w:r w:rsidR="00B224E6" w:rsidRPr="00BD4B00">
        <w:rPr>
          <w:rFonts w:asciiTheme="majorBidi" w:hAnsiTheme="majorBidi" w:cstheme="majorBidi"/>
          <w:sz w:val="28"/>
          <w:szCs w:val="28"/>
          <w:lang w:bidi="ar-MA"/>
        </w:rPr>
        <w:t xml:space="preserve">               </w:t>
      </w:r>
      <w:r w:rsidR="00A00E87" w:rsidRPr="00BD4B00">
        <w:rPr>
          <w:rFonts w:asciiTheme="majorBidi" w:hAnsiTheme="majorBidi" w:cstheme="majorBidi"/>
          <w:sz w:val="28"/>
          <w:szCs w:val="28"/>
          <w:lang w:bidi="ar-MA"/>
        </w:rPr>
        <w:t xml:space="preserve">         </w:t>
      </w:r>
      <w:r w:rsidR="001C58AD" w:rsidRPr="00BD4B00">
        <w:rPr>
          <w:rFonts w:asciiTheme="majorBidi" w:hAnsiTheme="majorBidi" w:cstheme="majorBidi"/>
          <w:sz w:val="28"/>
          <w:szCs w:val="28"/>
          <w:lang w:bidi="ar-MA"/>
        </w:rPr>
        <w:t xml:space="preserve">           </w:t>
      </w:r>
      <w:r w:rsidR="00A73D72" w:rsidRPr="00BD4B00">
        <w:rPr>
          <w:rFonts w:asciiTheme="majorBidi" w:hAnsiTheme="majorBidi" w:cstheme="majorBidi"/>
          <w:sz w:val="28"/>
          <w:szCs w:val="28"/>
          <w:lang w:bidi="ar-MA"/>
        </w:rPr>
        <w:t xml:space="preserve">                       </w:t>
      </w:r>
      <w:r w:rsidR="002908FC" w:rsidRPr="00BD4B00">
        <w:rPr>
          <w:rFonts w:asciiTheme="majorBidi" w:hAnsiTheme="majorBidi" w:cstheme="majorBidi"/>
          <w:sz w:val="28"/>
          <w:szCs w:val="28"/>
          <w:lang w:bidi="ar-MA"/>
        </w:rPr>
        <w:t xml:space="preserve">                  </w:t>
      </w:r>
      <w:r w:rsidR="00986B14" w:rsidRPr="00BD4B00">
        <w:rPr>
          <w:rFonts w:asciiTheme="majorBidi" w:hAnsiTheme="majorBidi" w:cstheme="majorBidi"/>
          <w:sz w:val="28"/>
          <w:szCs w:val="28"/>
          <w:lang w:bidi="ar-MA"/>
        </w:rPr>
        <w:t xml:space="preserve"> </w:t>
      </w:r>
      <w:r w:rsidR="006225D1" w:rsidRPr="00BD4B00">
        <w:rPr>
          <w:rFonts w:asciiTheme="majorBidi" w:hAnsiTheme="majorBidi" w:cstheme="majorBidi"/>
          <w:b/>
          <w:bCs/>
          <w:color w:val="943634"/>
          <w:sz w:val="28"/>
          <w:szCs w:val="28"/>
          <w:lang w:bidi="ar-MA"/>
        </w:rPr>
        <w:t xml:space="preserve">   </w:t>
      </w:r>
      <w:r w:rsidR="00A82F0E" w:rsidRPr="00BD4B00">
        <w:rPr>
          <w:rFonts w:asciiTheme="majorBidi" w:hAnsiTheme="majorBidi" w:cstheme="majorBidi"/>
          <w:b/>
          <w:bCs/>
          <w:color w:val="943634"/>
          <w:sz w:val="28"/>
          <w:szCs w:val="28"/>
          <w:lang w:bidi="ar-MA"/>
        </w:rPr>
        <w:t xml:space="preserve">  </w:t>
      </w:r>
      <w:r w:rsidR="00636446" w:rsidRPr="00BD4B00">
        <w:rPr>
          <w:rFonts w:asciiTheme="majorBidi" w:hAnsiTheme="majorBidi" w:cstheme="majorBidi"/>
          <w:b/>
          <w:bCs/>
          <w:color w:val="943634"/>
          <w:sz w:val="28"/>
          <w:szCs w:val="28"/>
          <w:lang w:bidi="ar-MA"/>
        </w:rPr>
        <w:t xml:space="preserve">   </w:t>
      </w:r>
      <w:r w:rsidR="00BC235D" w:rsidRPr="00BD4B00">
        <w:rPr>
          <w:rFonts w:asciiTheme="majorBidi" w:hAnsiTheme="majorBidi" w:cstheme="majorBidi"/>
          <w:b/>
          <w:bCs/>
          <w:color w:val="943634"/>
          <w:sz w:val="28"/>
          <w:szCs w:val="28"/>
          <w:lang w:bidi="ar-MA"/>
        </w:rPr>
        <w:t xml:space="preserve">    </w:t>
      </w:r>
      <w:r w:rsidR="00636446" w:rsidRPr="00BD4B00">
        <w:rPr>
          <w:rFonts w:asciiTheme="majorBidi" w:hAnsiTheme="majorBidi" w:cstheme="majorBidi"/>
          <w:b/>
          <w:bCs/>
          <w:color w:val="943634"/>
          <w:sz w:val="28"/>
          <w:szCs w:val="28"/>
          <w:lang w:bidi="ar-MA"/>
        </w:rPr>
        <w:t xml:space="preserve">     </w:t>
      </w:r>
      <w:r w:rsidR="00A82F0E" w:rsidRPr="00BD4B00">
        <w:rPr>
          <w:rFonts w:asciiTheme="majorBidi" w:hAnsiTheme="majorBidi" w:cstheme="majorBidi"/>
          <w:b/>
          <w:bCs/>
          <w:color w:val="943634"/>
          <w:sz w:val="28"/>
          <w:szCs w:val="28"/>
          <w:lang w:bidi="ar-MA"/>
        </w:rPr>
        <w:t xml:space="preserve">        </w:t>
      </w:r>
      <w:r w:rsidR="006225D1" w:rsidRPr="00BD4B00">
        <w:rPr>
          <w:rFonts w:asciiTheme="majorBidi" w:hAnsiTheme="majorBidi" w:cstheme="majorBidi"/>
          <w:b/>
          <w:bCs/>
          <w:color w:val="943634"/>
          <w:sz w:val="28"/>
          <w:szCs w:val="28"/>
          <w:lang w:bidi="ar-MA"/>
        </w:rPr>
        <w:t xml:space="preserve"> </w:t>
      </w:r>
      <w:r w:rsidR="00E57838" w:rsidRPr="00BD4B00">
        <w:rPr>
          <w:rFonts w:asciiTheme="majorBidi" w:hAnsiTheme="majorBidi" w:cstheme="majorBidi"/>
          <w:b/>
          <w:bCs/>
          <w:color w:val="943634"/>
          <w:sz w:val="28"/>
          <w:szCs w:val="28"/>
          <w:lang w:bidi="ar-MA"/>
        </w:rPr>
        <w:t xml:space="preserve"> </w:t>
      </w:r>
    </w:p>
    <w:p w:rsidR="0047396E" w:rsidRPr="00BD4B00" w:rsidRDefault="0047396E" w:rsidP="00BD4B00">
      <w:pPr>
        <w:bidi/>
        <w:spacing w:line="360" w:lineRule="auto"/>
        <w:jc w:val="center"/>
        <w:rPr>
          <w:rFonts w:asciiTheme="majorBidi" w:hAnsiTheme="majorBidi" w:cstheme="majorBidi"/>
          <w:b/>
          <w:bCs/>
          <w:color w:val="943634"/>
          <w:sz w:val="32"/>
          <w:szCs w:val="32"/>
          <w:rtl/>
          <w:lang w:bidi="ar-MA"/>
        </w:rPr>
      </w:pPr>
      <w:r w:rsidRPr="00BD4B00">
        <w:rPr>
          <w:rFonts w:asciiTheme="majorBidi" w:hAnsiTheme="majorBidi" w:cstheme="majorBidi"/>
          <w:b/>
          <w:bCs/>
          <w:color w:val="943634"/>
          <w:sz w:val="32"/>
          <w:szCs w:val="32"/>
          <w:rtl/>
          <w:lang w:bidi="ar-MA"/>
        </w:rPr>
        <w:t>مذكرة إخبارية للمندوبية السامية للتخطيط</w:t>
      </w:r>
    </w:p>
    <w:p w:rsidR="008D12BD" w:rsidRDefault="0047396E" w:rsidP="008D12BD">
      <w:pPr>
        <w:bidi/>
        <w:spacing w:after="240" w:line="360" w:lineRule="auto"/>
        <w:jc w:val="center"/>
        <w:rPr>
          <w:rFonts w:asciiTheme="majorBidi" w:hAnsiTheme="majorBidi" w:cstheme="majorBidi"/>
          <w:b/>
          <w:bCs/>
          <w:color w:val="943634"/>
          <w:sz w:val="32"/>
          <w:szCs w:val="32"/>
          <w:lang w:bidi="ar-MA"/>
        </w:rPr>
      </w:pPr>
      <w:r w:rsidRPr="00BD4B00">
        <w:rPr>
          <w:rFonts w:asciiTheme="majorBidi" w:hAnsiTheme="majorBidi" w:cstheme="majorBidi"/>
          <w:b/>
          <w:bCs/>
          <w:color w:val="943634"/>
          <w:sz w:val="32"/>
          <w:szCs w:val="32"/>
          <w:rtl/>
          <w:lang w:bidi="ar-MA"/>
        </w:rPr>
        <w:t>نتائج بحث الظرفية لدى الأسر</w:t>
      </w:r>
      <w:r w:rsidR="000E68FD" w:rsidRPr="00BD4B00">
        <w:rPr>
          <w:rFonts w:asciiTheme="majorBidi" w:hAnsiTheme="majorBidi" w:cstheme="majorBidi"/>
          <w:b/>
          <w:bCs/>
          <w:color w:val="943634"/>
          <w:sz w:val="32"/>
          <w:szCs w:val="32"/>
          <w:lang w:bidi="ar-MA"/>
        </w:rPr>
        <w:t xml:space="preserve"> </w:t>
      </w:r>
    </w:p>
    <w:p w:rsidR="0047396E" w:rsidRPr="00BD4B00" w:rsidRDefault="000E68FD" w:rsidP="008D12BD">
      <w:pPr>
        <w:bidi/>
        <w:spacing w:after="240" w:line="360" w:lineRule="auto"/>
        <w:jc w:val="center"/>
        <w:rPr>
          <w:rFonts w:asciiTheme="majorBidi" w:hAnsiTheme="majorBidi" w:cstheme="majorBidi"/>
          <w:b/>
          <w:bCs/>
          <w:color w:val="943634"/>
          <w:sz w:val="32"/>
          <w:szCs w:val="32"/>
          <w:rtl/>
          <w:lang w:bidi="ar-MA"/>
        </w:rPr>
      </w:pPr>
      <w:r w:rsidRPr="00BD4B00">
        <w:rPr>
          <w:rFonts w:asciiTheme="majorBidi" w:hAnsiTheme="majorBidi" w:cstheme="majorBidi"/>
          <w:b/>
          <w:bCs/>
          <w:color w:val="943634"/>
          <w:sz w:val="32"/>
          <w:szCs w:val="32"/>
          <w:rtl/>
          <w:lang w:bidi="ar-MA"/>
        </w:rPr>
        <w:t>برسم</w:t>
      </w:r>
      <w:r w:rsidR="0047396E" w:rsidRPr="00BD4B00">
        <w:rPr>
          <w:rFonts w:asciiTheme="majorBidi" w:hAnsiTheme="majorBidi" w:cstheme="majorBidi"/>
          <w:b/>
          <w:bCs/>
          <w:color w:val="943634"/>
          <w:sz w:val="32"/>
          <w:szCs w:val="32"/>
          <w:rtl/>
          <w:lang w:bidi="ar-MA"/>
        </w:rPr>
        <w:t xml:space="preserve"> سنة </w:t>
      </w:r>
      <w:r w:rsidR="00C05B4E" w:rsidRPr="00BD4B00">
        <w:rPr>
          <w:rFonts w:asciiTheme="majorBidi" w:hAnsiTheme="majorBidi" w:cstheme="majorBidi"/>
          <w:b/>
          <w:bCs/>
          <w:color w:val="943634"/>
          <w:sz w:val="32"/>
          <w:szCs w:val="32"/>
          <w:rtl/>
          <w:lang w:bidi="ar-MA"/>
        </w:rPr>
        <w:t>2022</w:t>
      </w:r>
    </w:p>
    <w:p w:rsidR="0047396E" w:rsidRPr="00BD4B00" w:rsidRDefault="00432805" w:rsidP="00BD4B00">
      <w:pPr>
        <w:bidi/>
        <w:spacing w:after="240" w:line="360" w:lineRule="auto"/>
        <w:jc w:val="both"/>
        <w:rPr>
          <w:rFonts w:asciiTheme="majorBidi" w:hAnsiTheme="majorBidi" w:cstheme="majorBidi"/>
          <w:rtl/>
          <w:lang w:bidi="ar-MA"/>
        </w:rPr>
      </w:pPr>
      <w:r w:rsidRPr="00BD4B00">
        <w:rPr>
          <w:rFonts w:asciiTheme="majorBidi" w:hAnsiTheme="majorBidi" w:cstheme="majorBidi"/>
          <w:rtl/>
          <w:lang w:bidi="ar-MA"/>
        </w:rPr>
        <w:t xml:space="preserve">     </w:t>
      </w:r>
    </w:p>
    <w:p w:rsidR="00C05B4E" w:rsidRPr="00BD4B00" w:rsidRDefault="00C05B4E" w:rsidP="00BD4B00">
      <w:pPr>
        <w:widowControl/>
        <w:autoSpaceDE/>
        <w:autoSpaceDN/>
        <w:bidi/>
        <w:adjustRightInd/>
        <w:spacing w:before="240" w:line="360" w:lineRule="auto"/>
        <w:jc w:val="both"/>
        <w:rPr>
          <w:rFonts w:asciiTheme="majorBidi" w:hAnsiTheme="majorBidi" w:cstheme="majorBidi"/>
          <w:b/>
          <w:bCs/>
          <w:rtl/>
          <w:lang w:bidi="ar-MA"/>
        </w:rPr>
      </w:pPr>
      <w:r w:rsidRPr="00BD4B00">
        <w:rPr>
          <w:rFonts w:asciiTheme="majorBidi" w:hAnsiTheme="majorBidi" w:cstheme="majorBidi"/>
          <w:b/>
          <w:bCs/>
          <w:rtl/>
          <w:lang w:bidi="ar-MA"/>
        </w:rPr>
        <w:t>يتضح من نتائج البحث الدائم حول الظرفية لدى الأسر، المنجز من طرف المندوبية السامية للتخطيط، أن مؤشر ثقة الأسر</w:t>
      </w:r>
      <w:r w:rsidRPr="00BD4B00">
        <w:rPr>
          <w:rFonts w:asciiTheme="majorBidi" w:hAnsiTheme="majorBidi" w:cstheme="majorBidi"/>
          <w:b/>
          <w:bCs/>
          <w:lang w:bidi="ar-MA"/>
        </w:rPr>
        <w:t xml:space="preserve"> </w:t>
      </w:r>
      <w:r w:rsidRPr="00BD4B00">
        <w:rPr>
          <w:rFonts w:asciiTheme="majorBidi" w:hAnsiTheme="majorBidi" w:cstheme="majorBidi"/>
          <w:b/>
          <w:bCs/>
          <w:rtl/>
          <w:lang w:bidi="ar-MA"/>
        </w:rPr>
        <w:t>تابع، خلال الفصل</w:t>
      </w:r>
      <w:r w:rsidR="005F55ED" w:rsidRPr="00BD4B00">
        <w:rPr>
          <w:rFonts w:asciiTheme="majorBidi" w:hAnsiTheme="majorBidi" w:cstheme="majorBidi"/>
          <w:b/>
          <w:bCs/>
          <w:lang w:val="fr-MA" w:bidi="ar-MA"/>
        </w:rPr>
        <w:t xml:space="preserve"> </w:t>
      </w:r>
      <w:r w:rsidR="005F55ED" w:rsidRPr="00BD4B00">
        <w:rPr>
          <w:rFonts w:asciiTheme="majorBidi" w:hAnsiTheme="majorBidi" w:cstheme="majorBidi"/>
          <w:b/>
          <w:bCs/>
          <w:rtl/>
          <w:lang w:bidi="ar-MA"/>
        </w:rPr>
        <w:t>الرابع</w:t>
      </w:r>
      <w:r w:rsidR="005F55ED" w:rsidRPr="00BD4B00">
        <w:rPr>
          <w:rFonts w:asciiTheme="majorBidi" w:hAnsiTheme="majorBidi" w:cstheme="majorBidi"/>
          <w:b/>
          <w:bCs/>
          <w:lang w:bidi="ar-MA"/>
        </w:rPr>
        <w:t xml:space="preserve"> </w:t>
      </w:r>
      <w:r w:rsidRPr="00BD4B00">
        <w:rPr>
          <w:rFonts w:asciiTheme="majorBidi" w:hAnsiTheme="majorBidi" w:cstheme="majorBidi"/>
          <w:b/>
          <w:bCs/>
          <w:rtl/>
          <w:lang w:bidi="ar-MA"/>
        </w:rPr>
        <w:t xml:space="preserve">من سنة 2022، منحاه التنازلي ليصل لأدنى مستوى له </w:t>
      </w:r>
      <w:r w:rsidR="00953F98" w:rsidRPr="00BD4B00">
        <w:rPr>
          <w:rFonts w:asciiTheme="majorBidi" w:hAnsiTheme="majorBidi" w:cstheme="majorBidi"/>
          <w:b/>
          <w:bCs/>
          <w:rtl/>
          <w:lang w:bidi="ar-MA"/>
        </w:rPr>
        <w:t>منذ بداية البحث سنة 2008</w:t>
      </w:r>
      <w:r w:rsidRPr="00BD4B00">
        <w:rPr>
          <w:rFonts w:asciiTheme="majorBidi" w:hAnsiTheme="majorBidi" w:cstheme="majorBidi"/>
          <w:b/>
          <w:bCs/>
          <w:rtl/>
          <w:lang w:bidi="ar-MA"/>
        </w:rPr>
        <w:t>.</w:t>
      </w:r>
      <w:r w:rsidRPr="00BD4B00">
        <w:rPr>
          <w:rFonts w:asciiTheme="majorBidi" w:hAnsiTheme="majorBidi" w:cstheme="majorBidi"/>
          <w:b/>
          <w:bCs/>
          <w:lang w:bidi="ar-MA"/>
        </w:rPr>
        <w:t xml:space="preserve"> </w:t>
      </w:r>
    </w:p>
    <w:p w:rsidR="00C05B4E" w:rsidRPr="00BD4B00" w:rsidRDefault="00C05B4E" w:rsidP="00BD4B00">
      <w:pPr>
        <w:bidi/>
        <w:spacing w:before="240" w:line="360" w:lineRule="auto"/>
        <w:jc w:val="both"/>
        <w:rPr>
          <w:rFonts w:asciiTheme="majorBidi" w:hAnsiTheme="majorBidi" w:cstheme="majorBidi"/>
          <w:b/>
          <w:sz w:val="26"/>
          <w:szCs w:val="26"/>
          <w:lang w:bidi="ar-MA"/>
        </w:rPr>
      </w:pPr>
      <w:r w:rsidRPr="00BD4B00">
        <w:rPr>
          <w:rFonts w:asciiTheme="majorBidi" w:hAnsiTheme="majorBidi" w:cstheme="majorBidi"/>
          <w:bCs/>
          <w:sz w:val="26"/>
          <w:szCs w:val="26"/>
          <w:rtl/>
          <w:lang w:bidi="ar-MA"/>
        </w:rPr>
        <w:t>و</w:t>
      </w:r>
      <w:r w:rsidRPr="00BD4B00">
        <w:rPr>
          <w:rFonts w:asciiTheme="majorBidi" w:hAnsiTheme="majorBidi" w:cstheme="majorBidi"/>
          <w:sz w:val="26"/>
          <w:szCs w:val="26"/>
          <w:rtl/>
          <w:lang w:bidi="ar-MA"/>
        </w:rPr>
        <w:t>هكذا انتقل مؤشر ثقة الأسر إل</w:t>
      </w:r>
      <w:r w:rsidR="00507676" w:rsidRPr="00BD4B00">
        <w:rPr>
          <w:rFonts w:asciiTheme="majorBidi" w:hAnsiTheme="majorBidi" w:cstheme="majorBidi"/>
          <w:sz w:val="26"/>
          <w:szCs w:val="26"/>
          <w:rtl/>
          <w:lang w:bidi="ar-MA"/>
        </w:rPr>
        <w:t>ى</w:t>
      </w:r>
      <w:r w:rsidR="00507676" w:rsidRPr="00BD4B00">
        <w:rPr>
          <w:rFonts w:asciiTheme="majorBidi" w:hAnsiTheme="majorBidi" w:cstheme="majorBidi"/>
          <w:sz w:val="26"/>
          <w:szCs w:val="26"/>
          <w:lang w:bidi="ar-MA"/>
        </w:rPr>
        <w:t xml:space="preserve"> </w:t>
      </w:r>
      <w:r w:rsidR="00507676" w:rsidRPr="00BD4B00">
        <w:rPr>
          <w:rFonts w:asciiTheme="majorBidi" w:hAnsiTheme="majorBidi" w:cstheme="majorBidi"/>
          <w:sz w:val="26"/>
          <w:szCs w:val="26"/>
          <w:rtl/>
          <w:lang w:bidi="ar-MA"/>
        </w:rPr>
        <w:t xml:space="preserve"> </w:t>
      </w:r>
      <w:r w:rsidR="00507676" w:rsidRPr="00BD4B00">
        <w:rPr>
          <w:rFonts w:asciiTheme="majorBidi" w:hAnsiTheme="majorBidi" w:cstheme="majorBidi"/>
          <w:sz w:val="26"/>
          <w:szCs w:val="26"/>
          <w:lang w:bidi="ar-MA"/>
        </w:rPr>
        <w:t xml:space="preserve"> </w:t>
      </w:r>
      <w:r w:rsidRPr="00BD4B00">
        <w:rPr>
          <w:rFonts w:asciiTheme="majorBidi" w:hAnsiTheme="majorBidi" w:cstheme="majorBidi"/>
          <w:sz w:val="26"/>
          <w:szCs w:val="26"/>
          <w:lang w:bidi="ar-MA"/>
        </w:rPr>
        <w:t>46</w:t>
      </w:r>
      <w:r w:rsidRPr="00BD4B00">
        <w:rPr>
          <w:rFonts w:asciiTheme="majorBidi" w:hAnsiTheme="majorBidi" w:cstheme="majorBidi"/>
          <w:color w:val="000000" w:themeColor="text1"/>
          <w:sz w:val="26"/>
          <w:szCs w:val="26"/>
        </w:rPr>
        <w:t>,6</w:t>
      </w:r>
      <w:r w:rsidRPr="00BD4B00">
        <w:rPr>
          <w:rFonts w:asciiTheme="majorBidi" w:hAnsiTheme="majorBidi" w:cstheme="majorBidi"/>
          <w:sz w:val="26"/>
          <w:szCs w:val="26"/>
          <w:rtl/>
          <w:lang w:bidi="ar-MA"/>
        </w:rPr>
        <w:t>نقطة عو</w:t>
      </w:r>
      <w:r w:rsidR="004C52F9" w:rsidRPr="00BD4B00">
        <w:rPr>
          <w:rFonts w:asciiTheme="majorBidi" w:hAnsiTheme="majorBidi" w:cstheme="majorBidi"/>
          <w:sz w:val="26"/>
          <w:szCs w:val="26"/>
          <w:rtl/>
          <w:lang w:bidi="ar-MA"/>
        </w:rPr>
        <w:t>ض</w:t>
      </w:r>
      <w:r w:rsidR="00953F98" w:rsidRPr="00BD4B00">
        <w:rPr>
          <w:rFonts w:asciiTheme="majorBidi" w:hAnsiTheme="majorBidi" w:cstheme="majorBidi"/>
          <w:sz w:val="26"/>
          <w:szCs w:val="26"/>
          <w:rtl/>
          <w:lang w:bidi="ar-MA"/>
        </w:rPr>
        <w:t xml:space="preserve"> </w:t>
      </w:r>
      <w:r w:rsidRPr="00BD4B00">
        <w:rPr>
          <w:rFonts w:asciiTheme="majorBidi" w:hAnsiTheme="majorBidi" w:cstheme="majorBidi"/>
          <w:sz w:val="26"/>
          <w:szCs w:val="26"/>
          <w:lang w:bidi="ar-MA"/>
        </w:rPr>
        <w:t xml:space="preserve"> 47</w:t>
      </w:r>
      <w:r w:rsidRPr="00BD4B00">
        <w:rPr>
          <w:rFonts w:asciiTheme="majorBidi" w:hAnsiTheme="majorBidi" w:cstheme="majorBidi"/>
          <w:color w:val="000000" w:themeColor="text1"/>
          <w:sz w:val="26"/>
          <w:szCs w:val="26"/>
        </w:rPr>
        <w:t>,4</w:t>
      </w:r>
      <w:r w:rsidRPr="00BD4B00">
        <w:rPr>
          <w:rFonts w:asciiTheme="majorBidi" w:hAnsiTheme="majorBidi" w:cstheme="majorBidi"/>
          <w:sz w:val="26"/>
          <w:szCs w:val="26"/>
          <w:rtl/>
          <w:lang w:bidi="ar-MA"/>
        </w:rPr>
        <w:t>نقطة المسجلة خلال الفصل السابق و</w:t>
      </w:r>
      <w:r w:rsidRPr="00BD4B00">
        <w:rPr>
          <w:rFonts w:asciiTheme="majorBidi" w:hAnsiTheme="majorBidi" w:cstheme="majorBidi"/>
          <w:sz w:val="26"/>
          <w:szCs w:val="26"/>
          <w:lang w:bidi="ar-MA"/>
        </w:rPr>
        <w:t xml:space="preserve"> </w:t>
      </w:r>
      <w:r w:rsidRPr="00BD4B00">
        <w:rPr>
          <w:rFonts w:asciiTheme="majorBidi" w:hAnsiTheme="majorBidi" w:cstheme="majorBidi"/>
          <w:color w:val="000000" w:themeColor="text1"/>
          <w:sz w:val="26"/>
          <w:szCs w:val="26"/>
        </w:rPr>
        <w:t>6</w:t>
      </w:r>
      <w:r w:rsidR="00A52724" w:rsidRPr="00BD4B00">
        <w:rPr>
          <w:rFonts w:asciiTheme="majorBidi" w:hAnsiTheme="majorBidi" w:cstheme="majorBidi"/>
          <w:color w:val="000000" w:themeColor="text1"/>
          <w:sz w:val="26"/>
          <w:szCs w:val="26"/>
        </w:rPr>
        <w:t>1</w:t>
      </w:r>
      <w:r w:rsidRPr="00BD4B00">
        <w:rPr>
          <w:rFonts w:asciiTheme="majorBidi" w:hAnsiTheme="majorBidi" w:cstheme="majorBidi"/>
          <w:color w:val="000000" w:themeColor="text1"/>
          <w:sz w:val="26"/>
          <w:szCs w:val="26"/>
        </w:rPr>
        <w:t>,2</w:t>
      </w:r>
      <w:r w:rsidRPr="00BD4B00">
        <w:rPr>
          <w:rFonts w:asciiTheme="majorBidi" w:hAnsiTheme="majorBidi" w:cstheme="majorBidi"/>
          <w:b/>
          <w:sz w:val="26"/>
          <w:szCs w:val="26"/>
          <w:rtl/>
          <w:lang w:bidi="ar-MA"/>
        </w:rPr>
        <w:t xml:space="preserve">نقطة المسجلة </w:t>
      </w:r>
      <w:r w:rsidRPr="00BD4B00">
        <w:rPr>
          <w:rFonts w:asciiTheme="majorBidi" w:hAnsiTheme="majorBidi" w:cstheme="majorBidi"/>
          <w:sz w:val="26"/>
          <w:szCs w:val="26"/>
          <w:rtl/>
          <w:lang w:bidi="ar-MA"/>
        </w:rPr>
        <w:t xml:space="preserve">خلال الفصل </w:t>
      </w:r>
      <w:r w:rsidR="005F55ED" w:rsidRPr="00BD4B00">
        <w:rPr>
          <w:rFonts w:asciiTheme="majorBidi" w:hAnsiTheme="majorBidi" w:cstheme="majorBidi"/>
          <w:sz w:val="26"/>
          <w:szCs w:val="26"/>
          <w:rtl/>
          <w:lang w:bidi="ar-MA"/>
        </w:rPr>
        <w:t>الرابع</w:t>
      </w:r>
      <w:r w:rsidRPr="00BD4B00">
        <w:rPr>
          <w:rFonts w:asciiTheme="majorBidi" w:hAnsiTheme="majorBidi" w:cstheme="majorBidi"/>
          <w:sz w:val="26"/>
          <w:szCs w:val="26"/>
          <w:rtl/>
          <w:lang w:bidi="ar-MA"/>
        </w:rPr>
        <w:t xml:space="preserve"> من السنة الماضية</w:t>
      </w:r>
      <w:r w:rsidRPr="00BD4B00">
        <w:rPr>
          <w:rFonts w:asciiTheme="majorBidi" w:hAnsiTheme="majorBidi" w:cstheme="majorBidi"/>
          <w:b/>
          <w:sz w:val="26"/>
          <w:szCs w:val="26"/>
          <w:lang w:bidi="ar-MA"/>
        </w:rPr>
        <w:t>.</w:t>
      </w:r>
    </w:p>
    <w:p w:rsidR="00465B5D" w:rsidRPr="00BD4B00" w:rsidRDefault="00B5783F" w:rsidP="00BD4B00">
      <w:pPr>
        <w:bidi/>
        <w:spacing w:before="240" w:line="360" w:lineRule="auto"/>
        <w:ind w:hanging="1"/>
        <w:rPr>
          <w:rFonts w:asciiTheme="majorBidi" w:hAnsiTheme="majorBidi" w:cstheme="majorBidi"/>
          <w:b/>
          <w:lang w:bidi="ar-MA"/>
        </w:rPr>
      </w:pPr>
      <w:r w:rsidRPr="00BD4B00">
        <w:rPr>
          <w:rFonts w:asciiTheme="majorBidi" w:hAnsiTheme="majorBidi" w:cstheme="majorBidi"/>
          <w:b/>
          <w:bCs/>
          <w:sz w:val="26"/>
          <w:szCs w:val="26"/>
          <w:rtl/>
          <w:lang w:bidi="ar-DZ"/>
        </w:rPr>
        <w:t xml:space="preserve">مبيان 1: </w:t>
      </w:r>
      <w:r w:rsidRPr="00BD4B00">
        <w:rPr>
          <w:rFonts w:asciiTheme="majorBidi" w:hAnsiTheme="majorBidi" w:cstheme="majorBidi"/>
          <w:b/>
          <w:bCs/>
          <w:sz w:val="26"/>
          <w:szCs w:val="26"/>
          <w:rtl/>
        </w:rPr>
        <w:t>تطور مؤشر ثقة الأسر</w:t>
      </w:r>
    </w:p>
    <w:p w:rsidR="00465B5D" w:rsidRPr="00BD4B00" w:rsidRDefault="00A52724" w:rsidP="00BD4B00">
      <w:pPr>
        <w:bidi/>
        <w:spacing w:line="360" w:lineRule="auto"/>
        <w:rPr>
          <w:rFonts w:asciiTheme="majorBidi" w:hAnsiTheme="majorBidi" w:cstheme="majorBidi"/>
          <w:b/>
          <w:lang w:bidi="ar-MA"/>
        </w:rPr>
      </w:pPr>
      <w:r w:rsidRPr="00BD4B00">
        <w:rPr>
          <w:rFonts w:asciiTheme="majorBidi" w:hAnsiTheme="majorBidi" w:cstheme="majorBidi"/>
          <w:b/>
          <w:noProof/>
        </w:rPr>
        <w:drawing>
          <wp:inline distT="0" distB="0" distL="0" distR="0">
            <wp:extent cx="5905690" cy="3835730"/>
            <wp:effectExtent l="19050" t="0" r="18860" b="0"/>
            <wp:docPr id="7" name="Graphique 7"/>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B5783F" w:rsidRDefault="00B5783F" w:rsidP="00BD4B00">
      <w:pPr>
        <w:shd w:val="clear" w:color="auto" w:fill="FFFFFF" w:themeFill="background1"/>
        <w:bidi/>
        <w:spacing w:line="360" w:lineRule="auto"/>
        <w:jc w:val="both"/>
        <w:rPr>
          <w:rFonts w:asciiTheme="majorBidi" w:hAnsiTheme="majorBidi" w:cstheme="majorBidi"/>
          <w:b/>
          <w:bCs/>
          <w:color w:val="202124"/>
          <w:sz w:val="22"/>
          <w:szCs w:val="22"/>
          <w:rtl/>
        </w:rPr>
      </w:pPr>
      <w:r w:rsidRPr="00BD4B00">
        <w:rPr>
          <w:rFonts w:asciiTheme="majorBidi" w:hAnsiTheme="majorBidi" w:cstheme="majorBidi"/>
          <w:b/>
          <w:bCs/>
          <w:color w:val="202124"/>
          <w:sz w:val="22"/>
          <w:szCs w:val="22"/>
          <w:rtl/>
        </w:rPr>
        <w:t>المصدر</w:t>
      </w:r>
      <w:r w:rsidRPr="00BD4B00">
        <w:rPr>
          <w:rFonts w:asciiTheme="majorBidi" w:hAnsiTheme="majorBidi" w:cstheme="majorBidi"/>
          <w:b/>
          <w:bCs/>
          <w:color w:val="202124"/>
          <w:sz w:val="22"/>
          <w:szCs w:val="22"/>
        </w:rPr>
        <w:t xml:space="preserve">: </w:t>
      </w:r>
      <w:r w:rsidRPr="00BD4B00">
        <w:rPr>
          <w:rFonts w:asciiTheme="majorBidi" w:hAnsiTheme="majorBidi" w:cstheme="majorBidi"/>
          <w:b/>
          <w:bCs/>
          <w:color w:val="202124"/>
          <w:sz w:val="22"/>
          <w:szCs w:val="22"/>
          <w:rtl/>
        </w:rPr>
        <w:t>المندوبية السامية للتخطيط، البحث الوطني الدائم حول الظرفية لدى الأسر</w:t>
      </w:r>
    </w:p>
    <w:p w:rsidR="00BD4B00" w:rsidRDefault="00BD4B00" w:rsidP="00BD4B00">
      <w:pPr>
        <w:shd w:val="clear" w:color="auto" w:fill="FFFFFF" w:themeFill="background1"/>
        <w:bidi/>
        <w:spacing w:line="360" w:lineRule="auto"/>
        <w:jc w:val="both"/>
        <w:rPr>
          <w:rFonts w:asciiTheme="majorBidi" w:hAnsiTheme="majorBidi" w:cstheme="majorBidi"/>
          <w:b/>
          <w:bCs/>
          <w:color w:val="202124"/>
          <w:sz w:val="22"/>
          <w:szCs w:val="22"/>
          <w:rtl/>
        </w:rPr>
      </w:pPr>
    </w:p>
    <w:p w:rsidR="00BD4B00" w:rsidRPr="00BD4B00" w:rsidRDefault="00BD4B00" w:rsidP="00BD4B00">
      <w:pPr>
        <w:shd w:val="clear" w:color="auto" w:fill="FFFFFF" w:themeFill="background1"/>
        <w:bidi/>
        <w:spacing w:line="360" w:lineRule="auto"/>
        <w:jc w:val="both"/>
        <w:rPr>
          <w:rFonts w:asciiTheme="majorBidi" w:hAnsiTheme="majorBidi" w:cstheme="majorBidi"/>
          <w:b/>
          <w:bCs/>
          <w:sz w:val="22"/>
          <w:szCs w:val="22"/>
        </w:rPr>
      </w:pPr>
    </w:p>
    <w:p w:rsidR="00CF451E" w:rsidRPr="00BD4B00" w:rsidRDefault="00CF451E" w:rsidP="00BD4B00">
      <w:pPr>
        <w:bidi/>
        <w:spacing w:line="360" w:lineRule="auto"/>
        <w:jc w:val="both"/>
        <w:rPr>
          <w:rFonts w:asciiTheme="majorBidi" w:hAnsiTheme="majorBidi" w:cstheme="majorBidi"/>
          <w:b/>
          <w:lang w:bidi="ar-MA"/>
        </w:rPr>
      </w:pPr>
    </w:p>
    <w:p w:rsidR="0047396E" w:rsidRPr="00BD4B00" w:rsidRDefault="0047396E" w:rsidP="00BD4B00">
      <w:pPr>
        <w:pStyle w:val="Paragraphedeliste"/>
        <w:widowControl/>
        <w:numPr>
          <w:ilvl w:val="0"/>
          <w:numId w:val="2"/>
        </w:numPr>
        <w:autoSpaceDE/>
        <w:autoSpaceDN/>
        <w:bidi/>
        <w:adjustRightInd/>
        <w:spacing w:line="360" w:lineRule="auto"/>
        <w:jc w:val="both"/>
        <w:rPr>
          <w:rFonts w:asciiTheme="majorBidi" w:hAnsiTheme="majorBidi" w:cstheme="majorBidi"/>
          <w:b/>
          <w:bCs/>
          <w:lang w:bidi="ar-MA"/>
        </w:rPr>
      </w:pPr>
      <w:r w:rsidRPr="00BD4B00">
        <w:rPr>
          <w:rFonts w:asciiTheme="majorBidi" w:hAnsiTheme="majorBidi" w:cstheme="majorBidi"/>
          <w:b/>
          <w:bCs/>
          <w:sz w:val="30"/>
          <w:szCs w:val="30"/>
          <w:rtl/>
          <w:lang w:bidi="ar-MA"/>
        </w:rPr>
        <w:lastRenderedPageBreak/>
        <w:t>تطور مكونات مؤشر الثقة</w:t>
      </w:r>
    </w:p>
    <w:p w:rsidR="00FC14BB" w:rsidRDefault="0047396E" w:rsidP="00BD4B00">
      <w:pPr>
        <w:bidi/>
        <w:spacing w:line="360" w:lineRule="auto"/>
        <w:jc w:val="both"/>
        <w:rPr>
          <w:rFonts w:asciiTheme="majorBidi" w:hAnsiTheme="majorBidi" w:cstheme="majorBidi"/>
          <w:rtl/>
          <w:lang w:bidi="ar-MA"/>
        </w:rPr>
      </w:pPr>
      <w:r w:rsidRPr="00BD4B00">
        <w:rPr>
          <w:rFonts w:asciiTheme="majorBidi" w:hAnsiTheme="majorBidi" w:cstheme="majorBidi"/>
          <w:rtl/>
          <w:lang w:bidi="ar-MA"/>
        </w:rPr>
        <w:t xml:space="preserve">تهم هذه المكونات آراء الأسر حول تطور مستوى المعيشة </w:t>
      </w:r>
      <w:r w:rsidR="007923EA" w:rsidRPr="00BD4B00">
        <w:rPr>
          <w:rFonts w:asciiTheme="majorBidi" w:hAnsiTheme="majorBidi" w:cstheme="majorBidi"/>
          <w:rtl/>
          <w:lang w:bidi="ar-MA"/>
        </w:rPr>
        <w:t xml:space="preserve">والبطالة </w:t>
      </w:r>
      <w:r w:rsidR="00CF15A7" w:rsidRPr="00BD4B00">
        <w:rPr>
          <w:rFonts w:asciiTheme="majorBidi" w:hAnsiTheme="majorBidi" w:cstheme="majorBidi"/>
          <w:rtl/>
          <w:lang w:bidi="ar-MA"/>
        </w:rPr>
        <w:t>وفرص اقتناء</w:t>
      </w:r>
      <w:r w:rsidR="00DF74BA" w:rsidRPr="00BD4B00">
        <w:rPr>
          <w:rFonts w:asciiTheme="majorBidi" w:hAnsiTheme="majorBidi" w:cstheme="majorBidi"/>
          <w:rtl/>
          <w:lang w:bidi="ar-MA"/>
        </w:rPr>
        <w:t xml:space="preserve"> السلع </w:t>
      </w:r>
      <w:r w:rsidR="00605BAD" w:rsidRPr="00BD4B00">
        <w:rPr>
          <w:rFonts w:asciiTheme="majorBidi" w:hAnsiTheme="majorBidi" w:cstheme="majorBidi"/>
          <w:rtl/>
          <w:lang w:bidi="ar-MA"/>
        </w:rPr>
        <w:t>المستدامة وكذا</w:t>
      </w:r>
      <w:r w:rsidRPr="00BD4B00">
        <w:rPr>
          <w:rFonts w:asciiTheme="majorBidi" w:hAnsiTheme="majorBidi" w:cstheme="majorBidi"/>
          <w:rtl/>
          <w:lang w:bidi="ar-MA"/>
        </w:rPr>
        <w:t xml:space="preserve"> </w:t>
      </w:r>
      <w:r w:rsidR="00DF74BA" w:rsidRPr="00BD4B00">
        <w:rPr>
          <w:rFonts w:asciiTheme="majorBidi" w:hAnsiTheme="majorBidi" w:cstheme="majorBidi"/>
          <w:rtl/>
          <w:lang w:bidi="ar-MA"/>
        </w:rPr>
        <w:t>تطور وضعيتهم المالية</w:t>
      </w:r>
      <w:r w:rsidRPr="00BD4B00">
        <w:rPr>
          <w:rFonts w:asciiTheme="majorBidi" w:hAnsiTheme="majorBidi" w:cstheme="majorBidi"/>
          <w:rtl/>
          <w:lang w:bidi="ar-MA"/>
        </w:rPr>
        <w:t xml:space="preserve">. </w:t>
      </w:r>
    </w:p>
    <w:p w:rsidR="00BD4B00" w:rsidRPr="00BD4B00" w:rsidRDefault="00BD4B00" w:rsidP="00BD4B00">
      <w:pPr>
        <w:bidi/>
        <w:spacing w:line="360" w:lineRule="auto"/>
        <w:jc w:val="both"/>
        <w:rPr>
          <w:rFonts w:asciiTheme="majorBidi" w:hAnsiTheme="majorBidi" w:cstheme="majorBidi"/>
          <w:rtl/>
          <w:lang w:bidi="ar-MA"/>
        </w:rPr>
      </w:pPr>
    </w:p>
    <w:p w:rsidR="002D48A5" w:rsidRPr="00BD4B00" w:rsidRDefault="00852A92" w:rsidP="00BD4B00">
      <w:pPr>
        <w:pStyle w:val="Paragraphedeliste"/>
        <w:numPr>
          <w:ilvl w:val="0"/>
          <w:numId w:val="14"/>
        </w:numPr>
        <w:bidi/>
        <w:spacing w:line="360" w:lineRule="auto"/>
        <w:jc w:val="both"/>
        <w:rPr>
          <w:rFonts w:asciiTheme="majorBidi" w:hAnsiTheme="majorBidi" w:cstheme="majorBidi"/>
          <w:b/>
          <w:bCs/>
          <w:sz w:val="30"/>
          <w:szCs w:val="30"/>
          <w:rtl/>
          <w:lang w:bidi="ar-MA"/>
        </w:rPr>
      </w:pPr>
      <w:r w:rsidRPr="00BD4B00">
        <w:rPr>
          <w:rFonts w:asciiTheme="majorBidi" w:eastAsia="Calibri" w:hAnsiTheme="majorBidi" w:cstheme="majorBidi"/>
          <w:b/>
          <w:bCs/>
          <w:sz w:val="30"/>
          <w:szCs w:val="30"/>
          <w:rtl/>
          <w:lang w:eastAsia="en-US" w:bidi="ar-MA"/>
        </w:rPr>
        <w:t>إ</w:t>
      </w:r>
      <w:r w:rsidR="004C3014" w:rsidRPr="00BD4B00">
        <w:rPr>
          <w:rFonts w:asciiTheme="majorBidi" w:eastAsia="Calibri" w:hAnsiTheme="majorBidi" w:cstheme="majorBidi"/>
          <w:b/>
          <w:bCs/>
          <w:sz w:val="30"/>
          <w:szCs w:val="30"/>
          <w:rtl/>
          <w:lang w:eastAsia="en-US" w:bidi="ar-MA"/>
        </w:rPr>
        <w:t>حساس</w:t>
      </w:r>
      <w:r w:rsidR="00605BAD" w:rsidRPr="00BD4B00">
        <w:rPr>
          <w:rFonts w:asciiTheme="majorBidi" w:eastAsia="Calibri" w:hAnsiTheme="majorBidi" w:cstheme="majorBidi"/>
          <w:b/>
          <w:bCs/>
          <w:sz w:val="30"/>
          <w:szCs w:val="30"/>
          <w:rtl/>
          <w:lang w:eastAsia="en-US" w:bidi="ar-MA"/>
        </w:rPr>
        <w:t xml:space="preserve"> </w:t>
      </w:r>
      <w:r w:rsidR="000E68FD" w:rsidRPr="00BD4B00">
        <w:rPr>
          <w:rFonts w:asciiTheme="majorBidi" w:hAnsiTheme="majorBidi" w:cstheme="majorBidi"/>
          <w:b/>
          <w:bCs/>
          <w:sz w:val="30"/>
          <w:szCs w:val="30"/>
          <w:rtl/>
          <w:lang w:bidi="ar-MA"/>
        </w:rPr>
        <w:t>الأسر</w:t>
      </w:r>
      <w:r w:rsidR="000E68FD" w:rsidRPr="00BD4B00">
        <w:rPr>
          <w:rFonts w:asciiTheme="majorBidi" w:eastAsia="Calibri" w:hAnsiTheme="majorBidi" w:cstheme="majorBidi"/>
          <w:b/>
          <w:bCs/>
          <w:sz w:val="30"/>
          <w:szCs w:val="30"/>
          <w:rtl/>
          <w:lang w:eastAsia="en-US" w:bidi="ar-MA"/>
        </w:rPr>
        <w:t xml:space="preserve"> </w:t>
      </w:r>
      <w:r w:rsidR="00605BAD" w:rsidRPr="00BD4B00">
        <w:rPr>
          <w:rFonts w:asciiTheme="majorBidi" w:eastAsia="Calibri" w:hAnsiTheme="majorBidi" w:cstheme="majorBidi"/>
          <w:b/>
          <w:bCs/>
          <w:sz w:val="30"/>
          <w:szCs w:val="30"/>
          <w:rtl/>
          <w:lang w:eastAsia="en-US" w:bidi="ar-MA"/>
        </w:rPr>
        <w:t xml:space="preserve">بتراجع مستوى </w:t>
      </w:r>
      <w:r w:rsidR="00F22397" w:rsidRPr="00BD4B00">
        <w:rPr>
          <w:rFonts w:asciiTheme="majorBidi" w:eastAsia="Calibri" w:hAnsiTheme="majorBidi" w:cstheme="majorBidi"/>
          <w:b/>
          <w:bCs/>
          <w:sz w:val="30"/>
          <w:szCs w:val="30"/>
          <w:rtl/>
          <w:lang w:eastAsia="en-US" w:bidi="ar-MA"/>
        </w:rPr>
        <w:t>ال</w:t>
      </w:r>
      <w:r w:rsidR="000E68FD" w:rsidRPr="00BD4B00">
        <w:rPr>
          <w:rFonts w:asciiTheme="majorBidi" w:hAnsiTheme="majorBidi" w:cstheme="majorBidi"/>
          <w:b/>
          <w:bCs/>
          <w:sz w:val="30"/>
          <w:szCs w:val="30"/>
          <w:rtl/>
          <w:lang w:bidi="ar-MA"/>
        </w:rPr>
        <w:t>معيش</w:t>
      </w:r>
      <w:r w:rsidR="00F22397" w:rsidRPr="00BD4B00">
        <w:rPr>
          <w:rFonts w:asciiTheme="majorBidi" w:hAnsiTheme="majorBidi" w:cstheme="majorBidi"/>
          <w:b/>
          <w:bCs/>
          <w:sz w:val="30"/>
          <w:szCs w:val="30"/>
          <w:rtl/>
          <w:lang w:bidi="ar-MA"/>
        </w:rPr>
        <w:t>ة</w:t>
      </w:r>
      <w:r w:rsidR="006E40FD" w:rsidRPr="00BD4B00">
        <w:rPr>
          <w:rFonts w:asciiTheme="majorBidi" w:hAnsiTheme="majorBidi" w:cstheme="majorBidi"/>
          <w:b/>
          <w:bCs/>
          <w:sz w:val="30"/>
          <w:szCs w:val="30"/>
          <w:rtl/>
          <w:lang w:bidi="ar-MA"/>
        </w:rPr>
        <w:t xml:space="preserve"> </w:t>
      </w:r>
    </w:p>
    <w:p w:rsidR="0047396E" w:rsidRPr="00BD4B00" w:rsidRDefault="00727EE4" w:rsidP="00BD4B00">
      <w:pPr>
        <w:bidi/>
        <w:spacing w:line="360" w:lineRule="auto"/>
        <w:jc w:val="both"/>
        <w:rPr>
          <w:rFonts w:asciiTheme="majorBidi" w:hAnsiTheme="majorBidi" w:cstheme="majorBidi"/>
          <w:rtl/>
          <w:lang w:bidi="ar-MA"/>
        </w:rPr>
      </w:pPr>
      <w:r w:rsidRPr="00BD4B00">
        <w:rPr>
          <w:rFonts w:asciiTheme="majorBidi" w:hAnsiTheme="majorBidi" w:cstheme="majorBidi"/>
          <w:rtl/>
          <w:lang w:bidi="ar-MA"/>
        </w:rPr>
        <w:t xml:space="preserve">خلال </w:t>
      </w:r>
      <w:r w:rsidR="00C866CD" w:rsidRPr="00BD4B00">
        <w:rPr>
          <w:rFonts w:asciiTheme="majorBidi" w:hAnsiTheme="majorBidi" w:cstheme="majorBidi"/>
          <w:rtl/>
          <w:lang w:bidi="ar-MA"/>
        </w:rPr>
        <w:t xml:space="preserve">الفصل الرابع </w:t>
      </w:r>
      <w:r w:rsidR="0047396E" w:rsidRPr="00BD4B00">
        <w:rPr>
          <w:rFonts w:asciiTheme="majorBidi" w:hAnsiTheme="majorBidi" w:cstheme="majorBidi"/>
          <w:rtl/>
          <w:lang w:bidi="ar-MA"/>
        </w:rPr>
        <w:t xml:space="preserve">من سنة </w:t>
      </w:r>
      <w:r w:rsidR="00C05B4E" w:rsidRPr="00BD4B00">
        <w:rPr>
          <w:rFonts w:asciiTheme="majorBidi" w:hAnsiTheme="majorBidi" w:cstheme="majorBidi"/>
          <w:rtl/>
          <w:lang w:bidi="ar-MA"/>
        </w:rPr>
        <w:t>2022</w:t>
      </w:r>
      <w:r w:rsidR="0047396E" w:rsidRPr="00BD4B00">
        <w:rPr>
          <w:rFonts w:asciiTheme="majorBidi" w:hAnsiTheme="majorBidi" w:cstheme="majorBidi"/>
          <w:rtl/>
          <w:lang w:bidi="ar-MA"/>
        </w:rPr>
        <w:t>، بلغ</w:t>
      </w:r>
      <w:r w:rsidR="00F55C36" w:rsidRPr="00BD4B00">
        <w:rPr>
          <w:rFonts w:asciiTheme="majorBidi" w:hAnsiTheme="majorBidi" w:cstheme="majorBidi"/>
          <w:rtl/>
          <w:lang w:bidi="ar-MA"/>
        </w:rPr>
        <w:t xml:space="preserve">ت نسبة </w:t>
      </w:r>
      <w:r w:rsidR="0047396E" w:rsidRPr="00BD4B00">
        <w:rPr>
          <w:rFonts w:asciiTheme="majorBidi" w:hAnsiTheme="majorBidi" w:cstheme="majorBidi"/>
          <w:rtl/>
          <w:lang w:bidi="ar-MA"/>
        </w:rPr>
        <w:t>الأسر التي صرحت بتدهور مستوى المعيشة</w:t>
      </w:r>
      <w:r w:rsidR="0047396E" w:rsidRPr="00BD4B00">
        <w:rPr>
          <w:rFonts w:asciiTheme="majorBidi" w:hAnsiTheme="majorBidi" w:cstheme="majorBidi"/>
          <w:lang w:bidi="ar-MA"/>
        </w:rPr>
        <w:t xml:space="preserve"> </w:t>
      </w:r>
      <w:r w:rsidR="0047396E" w:rsidRPr="00BD4B00">
        <w:rPr>
          <w:rFonts w:asciiTheme="majorBidi" w:hAnsiTheme="majorBidi" w:cstheme="majorBidi"/>
          <w:rtl/>
          <w:lang w:bidi="ar-MA"/>
        </w:rPr>
        <w:t>خلال 12 شهرا السابقة</w:t>
      </w:r>
      <w:r w:rsidR="008F5E47" w:rsidRPr="00BD4B00">
        <w:rPr>
          <w:rFonts w:asciiTheme="majorBidi" w:hAnsiTheme="majorBidi" w:cstheme="majorBidi"/>
          <w:rtl/>
          <w:lang w:bidi="ar-MA"/>
        </w:rPr>
        <w:t xml:space="preserve"> </w:t>
      </w:r>
      <w:r w:rsidR="004C52F9" w:rsidRPr="00BD4B00">
        <w:rPr>
          <w:rFonts w:asciiTheme="majorBidi" w:hAnsiTheme="majorBidi" w:cstheme="majorBidi"/>
          <w:lang w:bidi="ar-MA"/>
        </w:rPr>
        <w:t>%83,1</w:t>
      </w:r>
      <w:r w:rsidR="0047396E" w:rsidRPr="00BD4B00">
        <w:rPr>
          <w:rFonts w:asciiTheme="majorBidi" w:hAnsiTheme="majorBidi" w:cstheme="majorBidi"/>
          <w:rtl/>
          <w:lang w:bidi="ar-MA"/>
        </w:rPr>
        <w:t xml:space="preserve">، فيما </w:t>
      </w:r>
      <w:r w:rsidR="00CF15A7" w:rsidRPr="00BD4B00">
        <w:rPr>
          <w:rFonts w:asciiTheme="majorBidi" w:hAnsiTheme="majorBidi" w:cstheme="majorBidi"/>
          <w:rtl/>
          <w:lang w:bidi="ar-MA"/>
        </w:rPr>
        <w:t xml:space="preserve">اعتبرت </w:t>
      </w:r>
      <w:r w:rsidR="004C52F9" w:rsidRPr="00BD4B00">
        <w:rPr>
          <w:rFonts w:asciiTheme="majorBidi" w:hAnsiTheme="majorBidi" w:cstheme="majorBidi"/>
          <w:lang w:bidi="ar-MA"/>
        </w:rPr>
        <w:t>11,8</w:t>
      </w:r>
      <w:r w:rsidR="0047396E" w:rsidRPr="00BD4B00">
        <w:rPr>
          <w:rFonts w:asciiTheme="majorBidi" w:hAnsiTheme="majorBidi" w:cstheme="majorBidi"/>
          <w:rtl/>
          <w:lang w:bidi="ar-MA"/>
        </w:rPr>
        <w:t xml:space="preserve"> </w:t>
      </w:r>
      <w:r w:rsidR="0047396E" w:rsidRPr="00BD4B00">
        <w:rPr>
          <w:rFonts w:asciiTheme="majorBidi" w:hAnsiTheme="majorBidi" w:cstheme="majorBidi"/>
          <w:lang w:bidi="ar-MA"/>
        </w:rPr>
        <w:t>%</w:t>
      </w:r>
      <w:r w:rsidR="0047396E" w:rsidRPr="00BD4B00">
        <w:rPr>
          <w:rFonts w:asciiTheme="majorBidi" w:hAnsiTheme="majorBidi" w:cstheme="majorBidi"/>
          <w:rtl/>
          <w:lang w:bidi="ar-MA"/>
        </w:rPr>
        <w:t xml:space="preserve"> منها استقراره و</w:t>
      </w:r>
      <w:r w:rsidR="00814620" w:rsidRPr="00BD4B00">
        <w:rPr>
          <w:rFonts w:asciiTheme="majorBidi" w:hAnsiTheme="majorBidi" w:cstheme="majorBidi"/>
          <w:lang w:bidi="ar-MA"/>
        </w:rPr>
        <w:t>1</w:t>
      </w:r>
      <w:r w:rsidR="00BB0046" w:rsidRPr="00BD4B00">
        <w:rPr>
          <w:rFonts w:asciiTheme="majorBidi" w:hAnsiTheme="majorBidi" w:cstheme="majorBidi"/>
          <w:rtl/>
          <w:lang w:bidi="ar-MA"/>
        </w:rPr>
        <w:t>,</w:t>
      </w:r>
      <w:r w:rsidR="00814620" w:rsidRPr="00BD4B00">
        <w:rPr>
          <w:rFonts w:asciiTheme="majorBidi" w:hAnsiTheme="majorBidi" w:cstheme="majorBidi"/>
          <w:lang w:bidi="ar-MA"/>
        </w:rPr>
        <w:t>5</w:t>
      </w:r>
      <w:r w:rsidR="00B76026" w:rsidRPr="00BD4B00">
        <w:rPr>
          <w:rFonts w:asciiTheme="majorBidi" w:hAnsiTheme="majorBidi" w:cstheme="majorBidi"/>
          <w:rtl/>
          <w:lang w:bidi="ar-MA"/>
        </w:rPr>
        <w:t>%</w:t>
      </w:r>
      <w:r w:rsidR="0047396E" w:rsidRPr="00BD4B00">
        <w:rPr>
          <w:rFonts w:asciiTheme="majorBidi" w:hAnsiTheme="majorBidi" w:cstheme="majorBidi"/>
          <w:rtl/>
          <w:lang w:bidi="ar-MA"/>
        </w:rPr>
        <w:t xml:space="preserve"> تحسنه. وهكذا، استقر رصيد هذا المؤشر في مستوى سلبي بلغ ناقص </w:t>
      </w:r>
      <w:r w:rsidR="00A71491" w:rsidRPr="00BD4B00">
        <w:rPr>
          <w:rFonts w:asciiTheme="majorBidi" w:hAnsiTheme="majorBidi" w:cstheme="majorBidi"/>
          <w:rtl/>
          <w:lang w:bidi="ar-MA"/>
        </w:rPr>
        <w:t xml:space="preserve">78,0 </w:t>
      </w:r>
      <w:r w:rsidR="00DB58F0" w:rsidRPr="00BD4B00">
        <w:rPr>
          <w:rFonts w:asciiTheme="majorBidi" w:hAnsiTheme="majorBidi" w:cstheme="majorBidi"/>
          <w:rtl/>
          <w:lang w:bidi="ar-MA"/>
        </w:rPr>
        <w:t xml:space="preserve">نقطة </w:t>
      </w:r>
      <w:r w:rsidR="00B62445" w:rsidRPr="00BD4B00">
        <w:rPr>
          <w:rFonts w:asciiTheme="majorBidi" w:hAnsiTheme="majorBidi" w:cstheme="majorBidi"/>
          <w:rtl/>
          <w:lang w:bidi="ar-MA"/>
        </w:rPr>
        <w:t xml:space="preserve">عوض ناقص </w:t>
      </w:r>
      <w:r w:rsidR="00814620" w:rsidRPr="00BD4B00">
        <w:rPr>
          <w:rFonts w:asciiTheme="majorBidi" w:hAnsiTheme="majorBidi" w:cstheme="majorBidi"/>
          <w:lang w:bidi="ar-MA"/>
        </w:rPr>
        <w:t>6</w:t>
      </w:r>
      <w:r w:rsidR="00BB0046" w:rsidRPr="00BD4B00">
        <w:rPr>
          <w:rFonts w:asciiTheme="majorBidi" w:hAnsiTheme="majorBidi" w:cstheme="majorBidi"/>
          <w:rtl/>
          <w:lang w:bidi="ar-MA"/>
        </w:rPr>
        <w:t>,</w:t>
      </w:r>
      <w:r w:rsidR="00814620" w:rsidRPr="00BD4B00">
        <w:rPr>
          <w:rFonts w:asciiTheme="majorBidi" w:hAnsiTheme="majorBidi" w:cstheme="majorBidi"/>
          <w:lang w:bidi="ar-MA"/>
        </w:rPr>
        <w:t>74</w:t>
      </w:r>
      <w:r w:rsidR="00BB0046" w:rsidRPr="00BD4B00">
        <w:rPr>
          <w:rFonts w:asciiTheme="majorBidi" w:hAnsiTheme="majorBidi" w:cstheme="majorBidi"/>
          <w:rtl/>
          <w:lang w:bidi="ar-MA"/>
        </w:rPr>
        <w:t xml:space="preserve"> </w:t>
      </w:r>
      <w:r w:rsidR="00B62445" w:rsidRPr="00BD4B00">
        <w:rPr>
          <w:rFonts w:asciiTheme="majorBidi" w:hAnsiTheme="majorBidi" w:cstheme="majorBidi"/>
          <w:rtl/>
          <w:lang w:bidi="ar-MA"/>
        </w:rPr>
        <w:t>نقطة خلال الفصل السابق وناقص</w:t>
      </w:r>
      <w:r w:rsidR="00814620" w:rsidRPr="00BD4B00">
        <w:rPr>
          <w:rFonts w:asciiTheme="majorBidi" w:hAnsiTheme="majorBidi" w:cstheme="majorBidi"/>
          <w:lang w:bidi="ar-MA"/>
        </w:rPr>
        <w:t>2</w:t>
      </w:r>
      <w:r w:rsidR="00BB0046" w:rsidRPr="00BD4B00">
        <w:rPr>
          <w:rFonts w:asciiTheme="majorBidi" w:hAnsiTheme="majorBidi" w:cstheme="majorBidi"/>
          <w:rtl/>
          <w:lang w:bidi="ar-MA"/>
        </w:rPr>
        <w:t>,</w:t>
      </w:r>
      <w:r w:rsidR="00814620" w:rsidRPr="00BD4B00">
        <w:rPr>
          <w:rFonts w:asciiTheme="majorBidi" w:hAnsiTheme="majorBidi" w:cstheme="majorBidi"/>
          <w:lang w:bidi="ar-MA"/>
        </w:rPr>
        <w:t xml:space="preserve"> 55</w:t>
      </w:r>
      <w:r w:rsidR="00CF15A7" w:rsidRPr="00BD4B00">
        <w:rPr>
          <w:rFonts w:asciiTheme="majorBidi" w:hAnsiTheme="majorBidi" w:cstheme="majorBidi"/>
          <w:rtl/>
          <w:lang w:bidi="ar-MA"/>
        </w:rPr>
        <w:t>نقطة</w:t>
      </w:r>
      <w:r w:rsidR="0047396E" w:rsidRPr="00BD4B00">
        <w:rPr>
          <w:rFonts w:asciiTheme="majorBidi" w:hAnsiTheme="majorBidi" w:cstheme="majorBidi"/>
          <w:rtl/>
          <w:lang w:bidi="ar-MA"/>
        </w:rPr>
        <w:t xml:space="preserve"> خلال نفس الفصل من السنة الماضية</w:t>
      </w:r>
      <w:r w:rsidR="008052A4" w:rsidRPr="00BD4B00">
        <w:rPr>
          <w:rFonts w:asciiTheme="majorBidi" w:hAnsiTheme="majorBidi" w:cstheme="majorBidi"/>
          <w:rtl/>
          <w:lang w:bidi="ar-MA"/>
        </w:rPr>
        <w:t>.</w:t>
      </w:r>
      <w:r w:rsidR="00D72605" w:rsidRPr="00BD4B00">
        <w:rPr>
          <w:rFonts w:asciiTheme="majorBidi" w:hAnsiTheme="majorBidi" w:cstheme="majorBidi"/>
          <w:rtl/>
          <w:lang w:bidi="ar-MA"/>
        </w:rPr>
        <w:t xml:space="preserve"> </w:t>
      </w:r>
    </w:p>
    <w:p w:rsidR="008C54D7" w:rsidRPr="00BD4B00" w:rsidRDefault="008C54D7" w:rsidP="00BD4B00">
      <w:pPr>
        <w:bidi/>
        <w:spacing w:line="360" w:lineRule="auto"/>
        <w:jc w:val="both"/>
        <w:rPr>
          <w:rFonts w:asciiTheme="majorBidi" w:hAnsiTheme="majorBidi" w:cstheme="majorBidi"/>
          <w:rtl/>
          <w:lang w:bidi="ar-MA"/>
        </w:rPr>
      </w:pPr>
    </w:p>
    <w:p w:rsidR="00EF38BB" w:rsidRPr="00BD4B00" w:rsidRDefault="0047396E" w:rsidP="00BD4B00">
      <w:pPr>
        <w:bidi/>
        <w:spacing w:line="360" w:lineRule="auto"/>
        <w:jc w:val="both"/>
        <w:rPr>
          <w:rFonts w:asciiTheme="majorBidi" w:hAnsiTheme="majorBidi" w:cstheme="majorBidi"/>
          <w:rtl/>
          <w:lang w:bidi="ar-MA"/>
        </w:rPr>
      </w:pPr>
      <w:r w:rsidRPr="00BD4B00">
        <w:rPr>
          <w:rFonts w:asciiTheme="majorBidi" w:hAnsiTheme="majorBidi" w:cstheme="majorBidi"/>
          <w:rtl/>
          <w:lang w:bidi="ar-MA"/>
        </w:rPr>
        <w:t>أما بخصوص تطور مستوى المعيشة خلال 12 شهرا المقبلة، ف</w:t>
      </w:r>
      <w:r w:rsidR="00F55C36" w:rsidRPr="00BD4B00">
        <w:rPr>
          <w:rFonts w:asciiTheme="majorBidi" w:hAnsiTheme="majorBidi" w:cstheme="majorBidi"/>
          <w:rtl/>
          <w:lang w:bidi="ar-MA"/>
        </w:rPr>
        <w:t>أكثر من نصف الأسر(</w:t>
      </w:r>
      <w:r w:rsidR="00EF38BB" w:rsidRPr="00BD4B00">
        <w:rPr>
          <w:rFonts w:asciiTheme="majorBidi" w:hAnsiTheme="majorBidi" w:cstheme="majorBidi"/>
          <w:lang w:bidi="ar-MA"/>
        </w:rPr>
        <w:t>4</w:t>
      </w:r>
      <w:r w:rsidR="00BB0046" w:rsidRPr="00BD4B00">
        <w:rPr>
          <w:rFonts w:asciiTheme="majorBidi" w:hAnsiTheme="majorBidi" w:cstheme="majorBidi"/>
          <w:rtl/>
          <w:lang w:bidi="ar-MA"/>
        </w:rPr>
        <w:t>,</w:t>
      </w:r>
      <w:r w:rsidR="00EF38BB" w:rsidRPr="00BD4B00">
        <w:rPr>
          <w:rFonts w:asciiTheme="majorBidi" w:hAnsiTheme="majorBidi" w:cstheme="majorBidi"/>
          <w:lang w:bidi="ar-MA"/>
        </w:rPr>
        <w:t>52</w:t>
      </w:r>
      <w:r w:rsidRPr="00BD4B00">
        <w:rPr>
          <w:rFonts w:asciiTheme="majorBidi" w:hAnsiTheme="majorBidi" w:cstheme="majorBidi"/>
          <w:rtl/>
          <w:lang w:bidi="ar-MA"/>
        </w:rPr>
        <w:t xml:space="preserve"> </w:t>
      </w:r>
      <w:r w:rsidRPr="00BD4B00">
        <w:rPr>
          <w:rFonts w:asciiTheme="majorBidi" w:hAnsiTheme="majorBidi" w:cstheme="majorBidi"/>
          <w:lang w:bidi="ar-MA"/>
        </w:rPr>
        <w:t>%</w:t>
      </w:r>
      <w:r w:rsidR="00F55C36" w:rsidRPr="00BD4B00">
        <w:rPr>
          <w:rFonts w:asciiTheme="majorBidi" w:hAnsiTheme="majorBidi" w:cstheme="majorBidi"/>
          <w:rtl/>
          <w:lang w:bidi="ar-MA"/>
        </w:rPr>
        <w:t>)</w:t>
      </w:r>
      <w:r w:rsidRPr="00BD4B00">
        <w:rPr>
          <w:rFonts w:asciiTheme="majorBidi" w:hAnsiTheme="majorBidi" w:cstheme="majorBidi"/>
          <w:rtl/>
          <w:lang w:bidi="ar-MA"/>
        </w:rPr>
        <w:t xml:space="preserve"> </w:t>
      </w:r>
      <w:r w:rsidR="00F55C36" w:rsidRPr="00BD4B00">
        <w:rPr>
          <w:rFonts w:asciiTheme="majorBidi" w:hAnsiTheme="majorBidi" w:cstheme="majorBidi"/>
          <w:rtl/>
          <w:lang w:bidi="ar-MA"/>
        </w:rPr>
        <w:t>تتوقع</w:t>
      </w:r>
      <w:r w:rsidRPr="00BD4B00">
        <w:rPr>
          <w:rFonts w:asciiTheme="majorBidi" w:hAnsiTheme="majorBidi" w:cstheme="majorBidi"/>
          <w:rtl/>
          <w:lang w:bidi="ar-MA"/>
        </w:rPr>
        <w:t xml:space="preserve"> تدهوره و</w:t>
      </w:r>
      <w:r w:rsidR="00EF38BB" w:rsidRPr="00BD4B00">
        <w:rPr>
          <w:rFonts w:asciiTheme="majorBidi" w:hAnsiTheme="majorBidi" w:cstheme="majorBidi"/>
          <w:lang w:bidi="ar-MA"/>
        </w:rPr>
        <w:t>2</w:t>
      </w:r>
      <w:r w:rsidR="00BB0046" w:rsidRPr="00BD4B00">
        <w:rPr>
          <w:rFonts w:asciiTheme="majorBidi" w:hAnsiTheme="majorBidi" w:cstheme="majorBidi"/>
          <w:rtl/>
          <w:lang w:bidi="ar-MA"/>
        </w:rPr>
        <w:t>,</w:t>
      </w:r>
      <w:r w:rsidR="00EF38BB" w:rsidRPr="00BD4B00">
        <w:rPr>
          <w:rFonts w:asciiTheme="majorBidi" w:hAnsiTheme="majorBidi" w:cstheme="majorBidi"/>
          <w:lang w:bidi="ar-MA"/>
        </w:rPr>
        <w:t>38</w:t>
      </w:r>
      <w:r w:rsidRPr="00BD4B00">
        <w:rPr>
          <w:rFonts w:asciiTheme="majorBidi" w:hAnsiTheme="majorBidi" w:cstheme="majorBidi"/>
          <w:rtl/>
          <w:lang w:bidi="ar-MA"/>
        </w:rPr>
        <w:t xml:space="preserve"> </w:t>
      </w:r>
      <w:r w:rsidRPr="00BD4B00">
        <w:rPr>
          <w:rFonts w:asciiTheme="majorBidi" w:hAnsiTheme="majorBidi" w:cstheme="majorBidi"/>
          <w:lang w:bidi="ar-MA"/>
        </w:rPr>
        <w:t>%</w:t>
      </w:r>
      <w:r w:rsidRPr="00BD4B00">
        <w:rPr>
          <w:rFonts w:asciiTheme="majorBidi" w:hAnsiTheme="majorBidi" w:cstheme="majorBidi"/>
          <w:rtl/>
          <w:lang w:bidi="ar-MA"/>
        </w:rPr>
        <w:t xml:space="preserve"> استقراره</w:t>
      </w:r>
      <w:r w:rsidR="00B27151" w:rsidRPr="00BD4B00">
        <w:rPr>
          <w:rFonts w:asciiTheme="majorBidi" w:hAnsiTheme="majorBidi" w:cstheme="majorBidi"/>
          <w:rtl/>
          <w:lang w:bidi="ar-MA"/>
        </w:rPr>
        <w:t>،</w:t>
      </w:r>
      <w:r w:rsidRPr="00BD4B00">
        <w:rPr>
          <w:rFonts w:asciiTheme="majorBidi" w:hAnsiTheme="majorBidi" w:cstheme="majorBidi"/>
          <w:rtl/>
          <w:lang w:bidi="ar-MA"/>
        </w:rPr>
        <w:t xml:space="preserve"> في حين </w:t>
      </w:r>
      <w:r w:rsidR="004C3014" w:rsidRPr="00BD4B00">
        <w:rPr>
          <w:rFonts w:asciiTheme="majorBidi" w:hAnsiTheme="majorBidi" w:cstheme="majorBidi"/>
          <w:rtl/>
          <w:lang w:bidi="ar-MA"/>
        </w:rPr>
        <w:t>ترجح</w:t>
      </w:r>
      <w:r w:rsidR="00755518" w:rsidRPr="00BD4B00">
        <w:rPr>
          <w:rFonts w:asciiTheme="majorBidi" w:hAnsiTheme="majorBidi" w:cstheme="majorBidi"/>
          <w:rtl/>
          <w:lang w:bidi="ar-MA"/>
        </w:rPr>
        <w:t xml:space="preserve"> </w:t>
      </w:r>
      <w:r w:rsidR="00EF38BB" w:rsidRPr="00BD4B00">
        <w:rPr>
          <w:rFonts w:asciiTheme="majorBidi" w:hAnsiTheme="majorBidi" w:cstheme="majorBidi"/>
          <w:lang w:bidi="ar-MA"/>
        </w:rPr>
        <w:t>4</w:t>
      </w:r>
      <w:r w:rsidR="00755518" w:rsidRPr="00BD4B00">
        <w:rPr>
          <w:rFonts w:asciiTheme="majorBidi" w:hAnsiTheme="majorBidi" w:cstheme="majorBidi"/>
          <w:rtl/>
          <w:lang w:bidi="ar-MA"/>
        </w:rPr>
        <w:t>,</w:t>
      </w:r>
      <w:r w:rsidR="00EF38BB" w:rsidRPr="00BD4B00">
        <w:rPr>
          <w:rFonts w:asciiTheme="majorBidi" w:hAnsiTheme="majorBidi" w:cstheme="majorBidi"/>
          <w:lang w:bidi="ar-MA"/>
        </w:rPr>
        <w:t>9</w:t>
      </w:r>
      <w:r w:rsidR="00755518" w:rsidRPr="00BD4B00">
        <w:rPr>
          <w:rFonts w:asciiTheme="majorBidi" w:hAnsiTheme="majorBidi" w:cstheme="majorBidi"/>
          <w:rtl/>
          <w:lang w:bidi="ar-MA"/>
        </w:rPr>
        <w:t xml:space="preserve"> </w:t>
      </w:r>
      <w:r w:rsidR="00CF15A7" w:rsidRPr="00BD4B00">
        <w:rPr>
          <w:rFonts w:asciiTheme="majorBidi" w:hAnsiTheme="majorBidi" w:cstheme="majorBidi"/>
          <w:rtl/>
          <w:lang w:bidi="ar-MA"/>
        </w:rPr>
        <w:t>%</w:t>
      </w:r>
      <w:r w:rsidRPr="00BD4B00">
        <w:rPr>
          <w:rFonts w:asciiTheme="majorBidi" w:hAnsiTheme="majorBidi" w:cstheme="majorBidi"/>
          <w:rtl/>
          <w:lang w:bidi="ar-MA"/>
        </w:rPr>
        <w:t xml:space="preserve"> تحسنه. وهكذا</w:t>
      </w:r>
      <w:r w:rsidR="00622D42" w:rsidRPr="00BD4B00">
        <w:rPr>
          <w:rFonts w:asciiTheme="majorBidi" w:hAnsiTheme="majorBidi" w:cstheme="majorBidi"/>
          <w:rtl/>
          <w:lang w:bidi="ar-MA"/>
        </w:rPr>
        <w:t>،</w:t>
      </w:r>
      <w:r w:rsidRPr="00BD4B00">
        <w:rPr>
          <w:rFonts w:asciiTheme="majorBidi" w:hAnsiTheme="majorBidi" w:cstheme="majorBidi"/>
          <w:rtl/>
          <w:lang w:bidi="ar-MA"/>
        </w:rPr>
        <w:t xml:space="preserve"> </w:t>
      </w:r>
      <w:r w:rsidR="00F57964" w:rsidRPr="00BD4B00">
        <w:rPr>
          <w:rFonts w:asciiTheme="majorBidi" w:hAnsiTheme="majorBidi" w:cstheme="majorBidi"/>
          <w:rtl/>
          <w:lang w:bidi="ar-MA"/>
        </w:rPr>
        <w:t xml:space="preserve">استقر رصيد هذا المؤشر في </w:t>
      </w:r>
      <w:r w:rsidR="00896218" w:rsidRPr="00BD4B00">
        <w:rPr>
          <w:rFonts w:asciiTheme="majorBidi" w:hAnsiTheme="majorBidi" w:cstheme="majorBidi"/>
          <w:rtl/>
          <w:lang w:bidi="ar-MA"/>
        </w:rPr>
        <w:t xml:space="preserve">ناقص </w:t>
      </w:r>
      <w:r w:rsidR="00A71491" w:rsidRPr="00BD4B00">
        <w:rPr>
          <w:rFonts w:asciiTheme="majorBidi" w:hAnsiTheme="majorBidi" w:cstheme="majorBidi"/>
          <w:rtl/>
          <w:lang w:bidi="ar-MA"/>
        </w:rPr>
        <w:t>43,0</w:t>
      </w:r>
      <w:r w:rsidR="00896218" w:rsidRPr="00BD4B00">
        <w:rPr>
          <w:rFonts w:asciiTheme="majorBidi" w:hAnsiTheme="majorBidi" w:cstheme="majorBidi"/>
          <w:rtl/>
          <w:lang w:bidi="ar-MA"/>
        </w:rPr>
        <w:t xml:space="preserve"> </w:t>
      </w:r>
      <w:r w:rsidR="00EF38BB" w:rsidRPr="00BD4B00">
        <w:rPr>
          <w:rFonts w:asciiTheme="majorBidi" w:hAnsiTheme="majorBidi" w:cstheme="majorBidi"/>
          <w:rtl/>
          <w:lang w:bidi="ar-MA"/>
        </w:rPr>
        <w:t xml:space="preserve">نقطة </w:t>
      </w:r>
      <w:r w:rsidR="00F55C36" w:rsidRPr="00BD4B00">
        <w:rPr>
          <w:rFonts w:asciiTheme="majorBidi" w:hAnsiTheme="majorBidi" w:cstheme="majorBidi"/>
          <w:rtl/>
          <w:lang w:bidi="ar-MA"/>
        </w:rPr>
        <w:t xml:space="preserve">عوض ناقص </w:t>
      </w:r>
      <w:r w:rsidR="00F55C36" w:rsidRPr="00BD4B00">
        <w:rPr>
          <w:rFonts w:asciiTheme="majorBidi" w:hAnsiTheme="majorBidi" w:cstheme="majorBidi"/>
          <w:lang w:bidi="ar-MA"/>
        </w:rPr>
        <w:t>41,6</w:t>
      </w:r>
      <w:r w:rsidR="00F55C36" w:rsidRPr="00BD4B00">
        <w:rPr>
          <w:rFonts w:asciiTheme="majorBidi" w:hAnsiTheme="majorBidi" w:cstheme="majorBidi"/>
          <w:rtl/>
          <w:lang w:bidi="ar-MA"/>
        </w:rPr>
        <w:t xml:space="preserve"> </w:t>
      </w:r>
      <w:r w:rsidR="008C54D7" w:rsidRPr="00BD4B00">
        <w:rPr>
          <w:rFonts w:asciiTheme="majorBidi" w:hAnsiTheme="majorBidi" w:cstheme="majorBidi"/>
          <w:rtl/>
          <w:lang w:bidi="ar-MA"/>
        </w:rPr>
        <w:t xml:space="preserve">نقطة خلال </w:t>
      </w:r>
      <w:r w:rsidR="00EF38BB" w:rsidRPr="00BD4B00">
        <w:rPr>
          <w:rFonts w:asciiTheme="majorBidi" w:hAnsiTheme="majorBidi" w:cstheme="majorBidi"/>
          <w:rtl/>
          <w:lang w:bidi="ar-MA"/>
        </w:rPr>
        <w:t xml:space="preserve">الفصل السابق </w:t>
      </w:r>
      <w:r w:rsidR="008C54D7" w:rsidRPr="00BD4B00">
        <w:rPr>
          <w:rFonts w:asciiTheme="majorBidi" w:hAnsiTheme="majorBidi" w:cstheme="majorBidi"/>
          <w:rtl/>
          <w:lang w:bidi="ar-MA"/>
        </w:rPr>
        <w:t xml:space="preserve">و ناقص </w:t>
      </w:r>
      <w:r w:rsidR="008C54D7" w:rsidRPr="00BD4B00">
        <w:rPr>
          <w:rFonts w:asciiTheme="majorBidi" w:hAnsiTheme="majorBidi" w:cstheme="majorBidi"/>
          <w:lang w:bidi="ar-MA"/>
        </w:rPr>
        <w:t>1,3</w:t>
      </w:r>
      <w:r w:rsidR="008C54D7" w:rsidRPr="00BD4B00">
        <w:rPr>
          <w:rFonts w:asciiTheme="majorBidi" w:hAnsiTheme="majorBidi" w:cstheme="majorBidi"/>
          <w:rtl/>
          <w:lang w:bidi="ar-MA"/>
        </w:rPr>
        <w:t xml:space="preserve"> نقطة خلال </w:t>
      </w:r>
      <w:r w:rsidR="00EF38BB" w:rsidRPr="00BD4B00">
        <w:rPr>
          <w:rFonts w:asciiTheme="majorBidi" w:hAnsiTheme="majorBidi" w:cstheme="majorBidi"/>
          <w:rtl/>
          <w:lang w:bidi="ar-MA"/>
        </w:rPr>
        <w:t>نفس الفصل من السنة الماضية.</w:t>
      </w:r>
    </w:p>
    <w:p w:rsidR="006C6CCC" w:rsidRPr="00BD4B00" w:rsidRDefault="00B5783F" w:rsidP="00BD4B00">
      <w:pPr>
        <w:spacing w:before="240" w:line="360" w:lineRule="auto"/>
        <w:jc w:val="right"/>
        <w:rPr>
          <w:rFonts w:asciiTheme="majorBidi" w:hAnsiTheme="majorBidi" w:cstheme="majorBidi"/>
          <w:b/>
          <w:bCs/>
          <w:sz w:val="26"/>
          <w:szCs w:val="26"/>
          <w:rtl/>
          <w:lang w:bidi="ar-MA"/>
        </w:rPr>
      </w:pPr>
      <w:r w:rsidRPr="00BD4B00">
        <w:rPr>
          <w:rFonts w:asciiTheme="majorBidi" w:hAnsiTheme="majorBidi" w:cstheme="majorBidi"/>
          <w:b/>
          <w:bCs/>
          <w:sz w:val="26"/>
          <w:szCs w:val="26"/>
          <w:rtl/>
          <w:lang w:bidi="ar-DZ"/>
        </w:rPr>
        <w:t>مبيان 2:</w:t>
      </w:r>
      <w:r w:rsidRPr="00BD4B00">
        <w:rPr>
          <w:rFonts w:asciiTheme="majorBidi" w:hAnsiTheme="majorBidi" w:cstheme="majorBidi"/>
          <w:b/>
          <w:bCs/>
          <w:color w:val="000000"/>
          <w:kern w:val="24"/>
          <w:sz w:val="36"/>
          <w:szCs w:val="36"/>
          <w:rtl/>
          <w:lang w:bidi="ar-MA"/>
        </w:rPr>
        <w:t xml:space="preserve"> </w:t>
      </w:r>
      <w:r w:rsidRPr="00BD4B00">
        <w:rPr>
          <w:rFonts w:asciiTheme="majorBidi" w:hAnsiTheme="majorBidi" w:cstheme="majorBidi"/>
          <w:b/>
          <w:bCs/>
          <w:sz w:val="26"/>
          <w:szCs w:val="26"/>
          <w:rtl/>
          <w:lang w:bidi="ar-MA"/>
        </w:rPr>
        <w:t>تصور الأسر للتطور السابق و المستقبلي للمستوى العام للمعيشة</w:t>
      </w:r>
      <w:r w:rsidR="00A508E5" w:rsidRPr="00BD4B00">
        <w:rPr>
          <w:rFonts w:asciiTheme="majorBidi" w:hAnsiTheme="majorBidi" w:cstheme="majorBidi"/>
          <w:b/>
          <w:bCs/>
          <w:sz w:val="26"/>
          <w:szCs w:val="26"/>
          <w:rtl/>
          <w:lang w:bidi="ar-DZ"/>
        </w:rPr>
        <w:t xml:space="preserve"> </w:t>
      </w:r>
      <w:r w:rsidRPr="00BD4B00">
        <w:rPr>
          <w:rFonts w:asciiTheme="majorBidi" w:hAnsiTheme="majorBidi" w:cstheme="majorBidi"/>
          <w:b/>
          <w:bCs/>
          <w:sz w:val="26"/>
          <w:szCs w:val="26"/>
          <w:rtl/>
          <w:lang w:bidi="ar-MA"/>
        </w:rPr>
        <w:t>(أرصدة الآراء)</w:t>
      </w:r>
    </w:p>
    <w:p w:rsidR="00EF38BB" w:rsidRPr="00BD4B00" w:rsidRDefault="00A52724" w:rsidP="00BD4B00">
      <w:pPr>
        <w:bidi/>
        <w:spacing w:before="240" w:line="360" w:lineRule="auto"/>
        <w:jc w:val="both"/>
        <w:rPr>
          <w:rFonts w:asciiTheme="majorBidi" w:hAnsiTheme="majorBidi" w:cstheme="majorBidi"/>
          <w:rtl/>
        </w:rPr>
      </w:pPr>
      <w:r w:rsidRPr="00BD4B00">
        <w:rPr>
          <w:rFonts w:asciiTheme="majorBidi" w:hAnsiTheme="majorBidi" w:cstheme="majorBidi"/>
          <w:noProof/>
        </w:rPr>
        <w:drawing>
          <wp:inline distT="0" distB="0" distL="0" distR="0">
            <wp:extent cx="5963105" cy="4121624"/>
            <wp:effectExtent l="19050" t="0" r="18595" b="0"/>
            <wp:docPr id="8" name="Graphique 8"/>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B5783F" w:rsidRDefault="00B5783F" w:rsidP="00BD4B00">
      <w:pPr>
        <w:shd w:val="clear" w:color="auto" w:fill="FFFFFF" w:themeFill="background1"/>
        <w:bidi/>
        <w:spacing w:line="360" w:lineRule="auto"/>
        <w:jc w:val="both"/>
        <w:rPr>
          <w:rFonts w:asciiTheme="majorBidi" w:hAnsiTheme="majorBidi" w:cstheme="majorBidi"/>
          <w:b/>
          <w:bCs/>
          <w:color w:val="202124"/>
          <w:sz w:val="22"/>
          <w:szCs w:val="22"/>
          <w:rtl/>
        </w:rPr>
      </w:pPr>
      <w:r w:rsidRPr="00BD4B00">
        <w:rPr>
          <w:rFonts w:asciiTheme="majorBidi" w:hAnsiTheme="majorBidi" w:cstheme="majorBidi"/>
          <w:b/>
          <w:bCs/>
          <w:color w:val="202124"/>
          <w:sz w:val="22"/>
          <w:szCs w:val="22"/>
          <w:rtl/>
        </w:rPr>
        <w:t>المصدر</w:t>
      </w:r>
      <w:r w:rsidRPr="00BD4B00">
        <w:rPr>
          <w:rFonts w:asciiTheme="majorBidi" w:hAnsiTheme="majorBidi" w:cstheme="majorBidi"/>
          <w:b/>
          <w:bCs/>
          <w:color w:val="202124"/>
          <w:sz w:val="22"/>
          <w:szCs w:val="22"/>
        </w:rPr>
        <w:t xml:space="preserve">: </w:t>
      </w:r>
      <w:r w:rsidRPr="00BD4B00">
        <w:rPr>
          <w:rFonts w:asciiTheme="majorBidi" w:hAnsiTheme="majorBidi" w:cstheme="majorBidi"/>
          <w:b/>
          <w:bCs/>
          <w:color w:val="202124"/>
          <w:sz w:val="22"/>
          <w:szCs w:val="22"/>
          <w:rtl/>
        </w:rPr>
        <w:t>المندوبية السامية للتخطيط، البحث الوطني الدائم حول الظرفية لدى الأسر</w:t>
      </w:r>
    </w:p>
    <w:p w:rsidR="00BD4B00" w:rsidRDefault="00BD4B00" w:rsidP="00BD4B00">
      <w:pPr>
        <w:shd w:val="clear" w:color="auto" w:fill="FFFFFF" w:themeFill="background1"/>
        <w:bidi/>
        <w:spacing w:line="360" w:lineRule="auto"/>
        <w:jc w:val="both"/>
        <w:rPr>
          <w:rFonts w:asciiTheme="majorBidi" w:hAnsiTheme="majorBidi" w:cstheme="majorBidi"/>
          <w:b/>
          <w:bCs/>
          <w:color w:val="202124"/>
          <w:sz w:val="22"/>
          <w:szCs w:val="22"/>
          <w:rtl/>
        </w:rPr>
      </w:pPr>
    </w:p>
    <w:p w:rsidR="00BD4B00" w:rsidRPr="00BD4B00" w:rsidRDefault="00BD4B00" w:rsidP="00BD4B00">
      <w:pPr>
        <w:shd w:val="clear" w:color="auto" w:fill="FFFFFF" w:themeFill="background1"/>
        <w:bidi/>
        <w:spacing w:line="360" w:lineRule="auto"/>
        <w:jc w:val="both"/>
        <w:rPr>
          <w:rFonts w:asciiTheme="majorBidi" w:hAnsiTheme="majorBidi" w:cstheme="majorBidi"/>
          <w:b/>
          <w:bCs/>
          <w:color w:val="202124"/>
          <w:sz w:val="22"/>
          <w:szCs w:val="22"/>
          <w:rtl/>
        </w:rPr>
      </w:pPr>
    </w:p>
    <w:p w:rsidR="008C54D7" w:rsidRPr="00BD4B00" w:rsidRDefault="008C54D7" w:rsidP="00BD4B00">
      <w:pPr>
        <w:shd w:val="clear" w:color="auto" w:fill="FFFFFF" w:themeFill="background1"/>
        <w:bidi/>
        <w:spacing w:line="360" w:lineRule="auto"/>
        <w:jc w:val="both"/>
        <w:rPr>
          <w:rFonts w:asciiTheme="majorBidi" w:hAnsiTheme="majorBidi" w:cstheme="majorBidi"/>
          <w:b/>
          <w:bCs/>
          <w:sz w:val="22"/>
          <w:szCs w:val="22"/>
        </w:rPr>
      </w:pPr>
    </w:p>
    <w:p w:rsidR="008C54D7" w:rsidRPr="00BD4B00" w:rsidRDefault="00605BAD" w:rsidP="00BD4B00">
      <w:pPr>
        <w:pStyle w:val="Paragraphedeliste"/>
        <w:widowControl/>
        <w:numPr>
          <w:ilvl w:val="1"/>
          <w:numId w:val="2"/>
        </w:numPr>
        <w:autoSpaceDE/>
        <w:autoSpaceDN/>
        <w:bidi/>
        <w:adjustRightInd/>
        <w:spacing w:line="360" w:lineRule="auto"/>
        <w:ind w:left="785" w:hanging="283"/>
        <w:jc w:val="both"/>
        <w:rPr>
          <w:rFonts w:asciiTheme="majorBidi" w:hAnsiTheme="majorBidi" w:cstheme="majorBidi"/>
          <w:sz w:val="28"/>
          <w:szCs w:val="28"/>
          <w:lang w:bidi="ar-MA"/>
        </w:rPr>
      </w:pPr>
      <w:r w:rsidRPr="00BD4B00">
        <w:rPr>
          <w:rFonts w:asciiTheme="majorBidi" w:hAnsiTheme="majorBidi" w:cstheme="majorBidi"/>
          <w:b/>
          <w:bCs/>
          <w:sz w:val="30"/>
          <w:szCs w:val="30"/>
          <w:rtl/>
          <w:lang w:bidi="ar-MA"/>
        </w:rPr>
        <w:lastRenderedPageBreak/>
        <w:t>ت</w:t>
      </w:r>
      <w:r w:rsidR="00B27151" w:rsidRPr="00BD4B00">
        <w:rPr>
          <w:rFonts w:asciiTheme="majorBidi" w:hAnsiTheme="majorBidi" w:cstheme="majorBidi"/>
          <w:b/>
          <w:bCs/>
          <w:sz w:val="30"/>
          <w:szCs w:val="30"/>
          <w:rtl/>
          <w:lang w:bidi="ar-DZ"/>
        </w:rPr>
        <w:t xml:space="preserve">طور </w:t>
      </w:r>
      <w:r w:rsidR="00852A92" w:rsidRPr="00BD4B00">
        <w:rPr>
          <w:rFonts w:asciiTheme="majorBidi" w:hAnsiTheme="majorBidi" w:cstheme="majorBidi"/>
          <w:b/>
          <w:bCs/>
          <w:sz w:val="30"/>
          <w:szCs w:val="30"/>
          <w:rtl/>
          <w:lang w:bidi="ar-DZ"/>
        </w:rPr>
        <w:t>مستوى البطالة:</w:t>
      </w:r>
      <w:r w:rsidR="00B27151" w:rsidRPr="00BD4B00">
        <w:rPr>
          <w:rFonts w:asciiTheme="majorBidi" w:hAnsiTheme="majorBidi" w:cstheme="majorBidi"/>
          <w:b/>
          <w:bCs/>
          <w:sz w:val="30"/>
          <w:szCs w:val="30"/>
          <w:rtl/>
          <w:lang w:bidi="ar-DZ"/>
        </w:rPr>
        <w:t xml:space="preserve"> آراء</w:t>
      </w:r>
      <w:r w:rsidR="00A71491" w:rsidRPr="00BD4B00">
        <w:rPr>
          <w:rFonts w:asciiTheme="majorBidi" w:hAnsiTheme="majorBidi" w:cstheme="majorBidi"/>
          <w:b/>
          <w:bCs/>
          <w:sz w:val="30"/>
          <w:szCs w:val="30"/>
          <w:rtl/>
          <w:lang w:bidi="ar-DZ"/>
        </w:rPr>
        <w:t xml:space="preserve"> </w:t>
      </w:r>
      <w:r w:rsidR="000E5920">
        <w:rPr>
          <w:rFonts w:asciiTheme="majorBidi" w:hAnsiTheme="majorBidi" w:cstheme="majorBidi" w:hint="cs"/>
          <w:b/>
          <w:bCs/>
          <w:sz w:val="30"/>
          <w:szCs w:val="30"/>
          <w:rtl/>
          <w:lang w:bidi="ar-DZ"/>
        </w:rPr>
        <w:t xml:space="preserve">نسبيا </w:t>
      </w:r>
      <w:r w:rsidR="00A71491" w:rsidRPr="00BD4B00">
        <w:rPr>
          <w:rFonts w:asciiTheme="majorBidi" w:hAnsiTheme="majorBidi" w:cstheme="majorBidi"/>
          <w:b/>
          <w:bCs/>
          <w:sz w:val="30"/>
          <w:szCs w:val="30"/>
          <w:rtl/>
          <w:lang w:bidi="ar-DZ"/>
        </w:rPr>
        <w:t xml:space="preserve">أقل </w:t>
      </w:r>
      <w:r w:rsidR="00D853D1" w:rsidRPr="00BD4B00">
        <w:rPr>
          <w:rFonts w:asciiTheme="majorBidi" w:hAnsiTheme="majorBidi" w:cstheme="majorBidi" w:hint="cs"/>
          <w:b/>
          <w:bCs/>
          <w:sz w:val="30"/>
          <w:szCs w:val="30"/>
          <w:rtl/>
          <w:lang w:bidi="ar-DZ"/>
        </w:rPr>
        <w:t>تشاؤما</w:t>
      </w:r>
    </w:p>
    <w:p w:rsidR="008C54D7" w:rsidRPr="00BD4B00" w:rsidRDefault="00F04DA1" w:rsidP="00BD4B00">
      <w:pPr>
        <w:bidi/>
        <w:spacing w:line="360" w:lineRule="auto"/>
        <w:jc w:val="both"/>
        <w:rPr>
          <w:rFonts w:asciiTheme="majorBidi" w:hAnsiTheme="majorBidi" w:cstheme="majorBidi"/>
          <w:rtl/>
          <w:lang w:bidi="ar-MA"/>
        </w:rPr>
      </w:pPr>
      <w:r w:rsidRPr="00BD4B00">
        <w:rPr>
          <w:rFonts w:asciiTheme="majorBidi" w:hAnsiTheme="majorBidi" w:cstheme="majorBidi"/>
          <w:rtl/>
          <w:lang w:bidi="ar-MA"/>
        </w:rPr>
        <w:t xml:space="preserve">خلال </w:t>
      </w:r>
      <w:r w:rsidR="00C866CD" w:rsidRPr="00BD4B00">
        <w:rPr>
          <w:rFonts w:asciiTheme="majorBidi" w:hAnsiTheme="majorBidi" w:cstheme="majorBidi"/>
          <w:rtl/>
          <w:lang w:bidi="ar-MA"/>
        </w:rPr>
        <w:t xml:space="preserve">الفصل الرابع </w:t>
      </w:r>
      <w:r w:rsidRPr="00BD4B00">
        <w:rPr>
          <w:rFonts w:asciiTheme="majorBidi" w:hAnsiTheme="majorBidi" w:cstheme="majorBidi"/>
          <w:rtl/>
          <w:lang w:bidi="ar-MA"/>
        </w:rPr>
        <w:t xml:space="preserve">من سنة </w:t>
      </w:r>
      <w:r w:rsidR="00C05B4E" w:rsidRPr="00BD4B00">
        <w:rPr>
          <w:rFonts w:asciiTheme="majorBidi" w:hAnsiTheme="majorBidi" w:cstheme="majorBidi"/>
          <w:rtl/>
          <w:lang w:bidi="ar-MA"/>
        </w:rPr>
        <w:t>2022</w:t>
      </w:r>
      <w:r w:rsidR="0047396E" w:rsidRPr="00BD4B00">
        <w:rPr>
          <w:rFonts w:asciiTheme="majorBidi" w:hAnsiTheme="majorBidi" w:cstheme="majorBidi"/>
          <w:rtl/>
          <w:lang w:bidi="ar-MA"/>
        </w:rPr>
        <w:t xml:space="preserve">، </w:t>
      </w:r>
      <w:r w:rsidR="00852A92" w:rsidRPr="00BD4B00">
        <w:rPr>
          <w:rFonts w:asciiTheme="majorBidi" w:hAnsiTheme="majorBidi" w:cstheme="majorBidi"/>
          <w:rtl/>
          <w:lang w:bidi="ar-MA"/>
        </w:rPr>
        <w:t>توقعت</w:t>
      </w:r>
      <w:r w:rsidR="00F50226" w:rsidRPr="00BD4B00">
        <w:rPr>
          <w:rFonts w:asciiTheme="majorBidi" w:hAnsiTheme="majorBidi" w:cstheme="majorBidi"/>
          <w:rtl/>
          <w:lang w:bidi="ar-MA"/>
        </w:rPr>
        <w:t xml:space="preserve"> </w:t>
      </w:r>
      <w:r w:rsidR="008C54D7" w:rsidRPr="00BD4B00">
        <w:rPr>
          <w:rFonts w:asciiTheme="majorBidi" w:hAnsiTheme="majorBidi" w:cstheme="majorBidi"/>
          <w:color w:val="000000"/>
          <w:rtl/>
        </w:rPr>
        <w:t xml:space="preserve">85,0 </w:t>
      </w:r>
      <w:r w:rsidR="00852A92" w:rsidRPr="00BD4B00">
        <w:rPr>
          <w:rFonts w:asciiTheme="majorBidi" w:hAnsiTheme="majorBidi" w:cstheme="majorBidi"/>
          <w:rtl/>
          <w:lang w:bidi="ar-MA"/>
        </w:rPr>
        <w:t>%</w:t>
      </w:r>
      <w:r w:rsidR="0047396E" w:rsidRPr="00BD4B00">
        <w:rPr>
          <w:rFonts w:asciiTheme="majorBidi" w:hAnsiTheme="majorBidi" w:cstheme="majorBidi"/>
          <w:rtl/>
          <w:lang w:bidi="ar-MA"/>
        </w:rPr>
        <w:t xml:space="preserve"> من الأسر مقابل </w:t>
      </w:r>
      <w:r w:rsidR="0023572C" w:rsidRPr="00BD4B00">
        <w:rPr>
          <w:rFonts w:asciiTheme="majorBidi" w:hAnsiTheme="majorBidi" w:cstheme="majorBidi"/>
          <w:color w:val="000000"/>
        </w:rPr>
        <w:t>4</w:t>
      </w:r>
      <w:r w:rsidR="00F50226" w:rsidRPr="00BD4B00">
        <w:rPr>
          <w:rFonts w:asciiTheme="majorBidi" w:hAnsiTheme="majorBidi" w:cstheme="majorBidi"/>
          <w:color w:val="000000"/>
          <w:rtl/>
        </w:rPr>
        <w:t>,</w:t>
      </w:r>
      <w:r w:rsidR="0023572C" w:rsidRPr="00BD4B00">
        <w:rPr>
          <w:rFonts w:asciiTheme="majorBidi" w:hAnsiTheme="majorBidi" w:cstheme="majorBidi"/>
          <w:color w:val="000000"/>
        </w:rPr>
        <w:t>5</w:t>
      </w:r>
      <w:r w:rsidR="0047396E" w:rsidRPr="00BD4B00">
        <w:rPr>
          <w:rFonts w:asciiTheme="majorBidi" w:hAnsiTheme="majorBidi" w:cstheme="majorBidi"/>
          <w:rtl/>
          <w:lang w:bidi="ar-MA"/>
        </w:rPr>
        <w:t xml:space="preserve"> </w:t>
      </w:r>
      <w:r w:rsidR="0047396E" w:rsidRPr="00BD4B00">
        <w:rPr>
          <w:rFonts w:asciiTheme="majorBidi" w:hAnsiTheme="majorBidi" w:cstheme="majorBidi"/>
          <w:lang w:bidi="ar-MA"/>
        </w:rPr>
        <w:t>%</w:t>
      </w:r>
      <w:r w:rsidR="0047396E" w:rsidRPr="00BD4B00">
        <w:rPr>
          <w:rFonts w:asciiTheme="majorBidi" w:hAnsiTheme="majorBidi" w:cstheme="majorBidi"/>
          <w:rtl/>
          <w:lang w:bidi="ar-MA"/>
        </w:rPr>
        <w:t xml:space="preserve"> ارتفاعا في مستوى البطالة خلال 12 شهرا المقبلة. وهكذا استقر رصيد هذا المؤشر في مستوى سلبي بلغ ناقص</w:t>
      </w:r>
      <w:r w:rsidR="0047396E" w:rsidRPr="00BD4B00">
        <w:rPr>
          <w:rFonts w:asciiTheme="majorBidi" w:hAnsiTheme="majorBidi" w:cstheme="majorBidi"/>
          <w:lang w:bidi="ar-MA"/>
        </w:rPr>
        <w:t xml:space="preserve"> </w:t>
      </w:r>
      <w:r w:rsidR="0023572C" w:rsidRPr="00BD4B00">
        <w:rPr>
          <w:rFonts w:asciiTheme="majorBidi" w:hAnsiTheme="majorBidi" w:cstheme="majorBidi"/>
          <w:color w:val="000000"/>
        </w:rPr>
        <w:t xml:space="preserve">79,6 </w:t>
      </w:r>
      <w:r w:rsidR="0047396E" w:rsidRPr="00BD4B00">
        <w:rPr>
          <w:rFonts w:asciiTheme="majorBidi" w:hAnsiTheme="majorBidi" w:cstheme="majorBidi"/>
          <w:rtl/>
          <w:lang w:bidi="ar-MA"/>
        </w:rPr>
        <w:t>نقطة، مقابل ناقص</w:t>
      </w:r>
      <w:r w:rsidR="0023572C" w:rsidRPr="00BD4B00">
        <w:rPr>
          <w:rFonts w:asciiTheme="majorBidi" w:hAnsiTheme="majorBidi" w:cstheme="majorBidi"/>
          <w:color w:val="000000"/>
        </w:rPr>
        <w:t xml:space="preserve">5 </w:t>
      </w:r>
      <w:r w:rsidR="00F50226" w:rsidRPr="00BD4B00">
        <w:rPr>
          <w:rFonts w:asciiTheme="majorBidi" w:hAnsiTheme="majorBidi" w:cstheme="majorBidi"/>
          <w:color w:val="000000"/>
          <w:rtl/>
        </w:rPr>
        <w:t>,</w:t>
      </w:r>
      <w:r w:rsidR="0023572C" w:rsidRPr="00BD4B00">
        <w:rPr>
          <w:rFonts w:asciiTheme="majorBidi" w:hAnsiTheme="majorBidi" w:cstheme="majorBidi"/>
          <w:color w:val="000000"/>
        </w:rPr>
        <w:t xml:space="preserve"> 83</w:t>
      </w:r>
      <w:r w:rsidR="0047396E" w:rsidRPr="00BD4B00">
        <w:rPr>
          <w:rFonts w:asciiTheme="majorBidi" w:hAnsiTheme="majorBidi" w:cstheme="majorBidi"/>
          <w:rtl/>
          <w:lang w:bidi="ar-MA"/>
        </w:rPr>
        <w:t xml:space="preserve">نقطة </w:t>
      </w:r>
      <w:r w:rsidR="0023572C" w:rsidRPr="00BD4B00">
        <w:rPr>
          <w:rFonts w:asciiTheme="majorBidi" w:hAnsiTheme="majorBidi" w:cstheme="majorBidi"/>
          <w:rtl/>
          <w:lang w:bidi="ar-MA"/>
        </w:rPr>
        <w:t xml:space="preserve">خلال الفصل السابق و ناقص </w:t>
      </w:r>
      <w:r w:rsidR="0023572C" w:rsidRPr="00BD4B00">
        <w:rPr>
          <w:rFonts w:asciiTheme="majorBidi" w:hAnsiTheme="majorBidi" w:cstheme="majorBidi"/>
          <w:lang w:bidi="ar-MA"/>
        </w:rPr>
        <w:t>77,6</w:t>
      </w:r>
      <w:r w:rsidR="0023572C" w:rsidRPr="00BD4B00">
        <w:rPr>
          <w:rFonts w:asciiTheme="majorBidi" w:hAnsiTheme="majorBidi" w:cstheme="majorBidi"/>
          <w:rtl/>
          <w:lang w:bidi="ar-MA"/>
        </w:rPr>
        <w:t xml:space="preserve"> نقطة خلال نفس الفصل من السنة الماضية.</w:t>
      </w:r>
    </w:p>
    <w:p w:rsidR="008C54D7" w:rsidRPr="00BD4B00" w:rsidRDefault="008C54D7" w:rsidP="00BD4B00">
      <w:pPr>
        <w:bidi/>
        <w:spacing w:line="360" w:lineRule="auto"/>
        <w:jc w:val="both"/>
        <w:rPr>
          <w:rFonts w:asciiTheme="majorBidi" w:hAnsiTheme="majorBidi" w:cstheme="majorBidi"/>
          <w:rtl/>
          <w:lang w:bidi="ar-MA"/>
        </w:rPr>
      </w:pPr>
    </w:p>
    <w:p w:rsidR="00A52724" w:rsidRPr="00BD4B00" w:rsidRDefault="00B5783F" w:rsidP="00BD4B00">
      <w:pPr>
        <w:bidi/>
        <w:spacing w:line="360" w:lineRule="auto"/>
        <w:jc w:val="both"/>
        <w:rPr>
          <w:rFonts w:asciiTheme="majorBidi" w:hAnsiTheme="majorBidi" w:cstheme="majorBidi"/>
          <w:lang w:bidi="ar-MA"/>
        </w:rPr>
      </w:pPr>
      <w:r w:rsidRPr="00BD4B00">
        <w:rPr>
          <w:rFonts w:asciiTheme="majorBidi" w:hAnsiTheme="majorBidi" w:cstheme="majorBidi"/>
          <w:b/>
          <w:bCs/>
          <w:sz w:val="26"/>
          <w:szCs w:val="26"/>
          <w:rtl/>
          <w:lang w:bidi="ar-DZ"/>
        </w:rPr>
        <w:t xml:space="preserve">مبيان 3: </w:t>
      </w:r>
      <w:r w:rsidRPr="00BD4B00">
        <w:rPr>
          <w:rFonts w:asciiTheme="majorBidi" w:hAnsiTheme="majorBidi" w:cstheme="majorBidi"/>
          <w:b/>
          <w:bCs/>
          <w:sz w:val="26"/>
          <w:szCs w:val="26"/>
          <w:rtl/>
          <w:lang w:bidi="ar-MA"/>
        </w:rPr>
        <w:t>التطور المستقبلي للبطالة (أرصدة الآراء)</w:t>
      </w:r>
    </w:p>
    <w:p w:rsidR="00A52724" w:rsidRPr="00BD4B00" w:rsidRDefault="00A52724" w:rsidP="00BD4B00">
      <w:pPr>
        <w:bidi/>
        <w:spacing w:line="360" w:lineRule="auto"/>
        <w:jc w:val="both"/>
        <w:rPr>
          <w:rFonts w:asciiTheme="majorBidi" w:hAnsiTheme="majorBidi" w:cstheme="majorBidi"/>
          <w:rtl/>
          <w:lang w:val="fr-MA" w:bidi="ar-MA"/>
        </w:rPr>
      </w:pPr>
      <w:r w:rsidRPr="00BD4B00">
        <w:rPr>
          <w:rFonts w:asciiTheme="majorBidi" w:hAnsiTheme="majorBidi" w:cstheme="majorBidi"/>
          <w:noProof/>
        </w:rPr>
        <w:drawing>
          <wp:inline distT="0" distB="0" distL="0" distR="0">
            <wp:extent cx="5989765" cy="3780430"/>
            <wp:effectExtent l="19050" t="0" r="10985" b="0"/>
            <wp:docPr id="9" name="Graphique 9"/>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7F7CAA" w:rsidRPr="00BD4B00" w:rsidRDefault="00B5783F" w:rsidP="00BD4B00">
      <w:pPr>
        <w:shd w:val="clear" w:color="auto" w:fill="FFFFFF" w:themeFill="background1"/>
        <w:bidi/>
        <w:spacing w:line="360" w:lineRule="auto"/>
        <w:jc w:val="both"/>
        <w:rPr>
          <w:rFonts w:asciiTheme="majorBidi" w:hAnsiTheme="majorBidi" w:cstheme="majorBidi"/>
          <w:b/>
          <w:bCs/>
          <w:color w:val="202124"/>
          <w:sz w:val="22"/>
          <w:szCs w:val="22"/>
          <w:rtl/>
        </w:rPr>
      </w:pPr>
      <w:r w:rsidRPr="00BD4B00">
        <w:rPr>
          <w:rFonts w:asciiTheme="majorBidi" w:hAnsiTheme="majorBidi" w:cstheme="majorBidi"/>
          <w:b/>
          <w:bCs/>
          <w:color w:val="202124"/>
          <w:sz w:val="22"/>
          <w:szCs w:val="22"/>
          <w:rtl/>
        </w:rPr>
        <w:t>المصدر</w:t>
      </w:r>
      <w:r w:rsidRPr="00BD4B00">
        <w:rPr>
          <w:rFonts w:asciiTheme="majorBidi" w:hAnsiTheme="majorBidi" w:cstheme="majorBidi"/>
          <w:b/>
          <w:bCs/>
          <w:color w:val="202124"/>
          <w:sz w:val="22"/>
          <w:szCs w:val="22"/>
        </w:rPr>
        <w:t xml:space="preserve">: </w:t>
      </w:r>
      <w:r w:rsidRPr="00BD4B00">
        <w:rPr>
          <w:rFonts w:asciiTheme="majorBidi" w:hAnsiTheme="majorBidi" w:cstheme="majorBidi"/>
          <w:b/>
          <w:bCs/>
          <w:color w:val="202124"/>
          <w:sz w:val="22"/>
          <w:szCs w:val="22"/>
          <w:rtl/>
        </w:rPr>
        <w:t>المندوبية السامية للتخطيط، البحث الوطني الدائم حول الظرفية لدى الأسر</w:t>
      </w:r>
    </w:p>
    <w:p w:rsidR="002D48A5" w:rsidRPr="00BD4B00" w:rsidRDefault="002D48A5" w:rsidP="00BD4B00">
      <w:pPr>
        <w:shd w:val="clear" w:color="auto" w:fill="FFFFFF" w:themeFill="background1"/>
        <w:bidi/>
        <w:spacing w:line="360" w:lineRule="auto"/>
        <w:jc w:val="both"/>
        <w:rPr>
          <w:rFonts w:asciiTheme="majorBidi" w:hAnsiTheme="majorBidi" w:cstheme="majorBidi"/>
          <w:noProof/>
        </w:rPr>
      </w:pPr>
    </w:p>
    <w:p w:rsidR="00BD4B00" w:rsidRDefault="0013575F" w:rsidP="00BD4B00">
      <w:pPr>
        <w:pStyle w:val="Paragraphedeliste"/>
        <w:widowControl/>
        <w:numPr>
          <w:ilvl w:val="1"/>
          <w:numId w:val="2"/>
        </w:numPr>
        <w:autoSpaceDE/>
        <w:autoSpaceDN/>
        <w:bidi/>
        <w:adjustRightInd/>
        <w:spacing w:after="200" w:line="360" w:lineRule="auto"/>
        <w:ind w:left="566" w:hanging="283"/>
        <w:jc w:val="both"/>
        <w:rPr>
          <w:rFonts w:asciiTheme="majorBidi" w:hAnsiTheme="majorBidi" w:cstheme="majorBidi"/>
          <w:b/>
          <w:bCs/>
          <w:sz w:val="30"/>
          <w:szCs w:val="30"/>
          <w:lang w:bidi="ar-MA"/>
        </w:rPr>
      </w:pPr>
      <w:r w:rsidRPr="00BD4B00">
        <w:rPr>
          <w:rFonts w:asciiTheme="majorBidi" w:hAnsiTheme="majorBidi" w:cstheme="majorBidi"/>
          <w:b/>
          <w:bCs/>
          <w:sz w:val="30"/>
          <w:szCs w:val="30"/>
          <w:rtl/>
          <w:lang w:bidi="ar-MA"/>
        </w:rPr>
        <w:t xml:space="preserve">ظرفية غير ملائمة لاقتناء السلع المستديمة </w:t>
      </w:r>
      <w:r w:rsidR="000E68FD" w:rsidRPr="00BD4B00">
        <w:rPr>
          <w:rFonts w:asciiTheme="majorBidi" w:hAnsiTheme="majorBidi" w:cstheme="majorBidi"/>
          <w:b/>
          <w:bCs/>
          <w:sz w:val="30"/>
          <w:szCs w:val="30"/>
          <w:rtl/>
          <w:lang w:bidi="ar-MA"/>
        </w:rPr>
        <w:t>حسب تصور الأسر</w:t>
      </w:r>
    </w:p>
    <w:p w:rsidR="002B2F02" w:rsidRPr="00BD4B00" w:rsidRDefault="0047396E" w:rsidP="00BD4B00">
      <w:pPr>
        <w:widowControl/>
        <w:autoSpaceDE/>
        <w:autoSpaceDN/>
        <w:bidi/>
        <w:adjustRightInd/>
        <w:spacing w:after="200" w:line="360" w:lineRule="auto"/>
        <w:ind w:left="283"/>
        <w:jc w:val="both"/>
        <w:rPr>
          <w:rFonts w:asciiTheme="majorBidi" w:hAnsiTheme="majorBidi" w:cstheme="majorBidi"/>
          <w:b/>
          <w:bCs/>
          <w:sz w:val="30"/>
          <w:szCs w:val="30"/>
          <w:rtl/>
          <w:lang w:bidi="ar-MA"/>
        </w:rPr>
      </w:pPr>
      <w:r w:rsidRPr="00BD4B00">
        <w:rPr>
          <w:rFonts w:asciiTheme="majorBidi" w:hAnsiTheme="majorBidi" w:cstheme="majorBidi"/>
          <w:rtl/>
          <w:lang w:bidi="ar-MA"/>
        </w:rPr>
        <w:t xml:space="preserve">اعتبرت </w:t>
      </w:r>
      <w:r w:rsidR="00405CC9" w:rsidRPr="00BD4B00">
        <w:rPr>
          <w:rFonts w:asciiTheme="majorBidi" w:hAnsiTheme="majorBidi" w:cstheme="majorBidi"/>
          <w:color w:val="000000"/>
        </w:rPr>
        <w:t>79,9</w:t>
      </w:r>
      <w:r w:rsidR="0006156A" w:rsidRPr="00BD4B00">
        <w:rPr>
          <w:rFonts w:asciiTheme="majorBidi" w:hAnsiTheme="majorBidi" w:cstheme="majorBidi"/>
          <w:rtl/>
          <w:lang w:bidi="ar-MA"/>
        </w:rPr>
        <w:t>%</w:t>
      </w:r>
      <w:r w:rsidRPr="00BD4B00">
        <w:rPr>
          <w:rFonts w:asciiTheme="majorBidi" w:hAnsiTheme="majorBidi" w:cstheme="majorBidi"/>
          <w:rtl/>
          <w:lang w:bidi="ar-MA"/>
        </w:rPr>
        <w:t xml:space="preserve"> من الأسر، </w:t>
      </w:r>
      <w:r w:rsidR="00341A12" w:rsidRPr="00BD4B00">
        <w:rPr>
          <w:rFonts w:asciiTheme="majorBidi" w:hAnsiTheme="majorBidi" w:cstheme="majorBidi"/>
          <w:rtl/>
          <w:lang w:bidi="ar-MA"/>
        </w:rPr>
        <w:t xml:space="preserve">خلال </w:t>
      </w:r>
      <w:r w:rsidR="00C866CD" w:rsidRPr="00BD4B00">
        <w:rPr>
          <w:rFonts w:asciiTheme="majorBidi" w:hAnsiTheme="majorBidi" w:cstheme="majorBidi"/>
          <w:rtl/>
          <w:lang w:bidi="ar-MA"/>
        </w:rPr>
        <w:t xml:space="preserve">الفصل الرابع </w:t>
      </w:r>
      <w:r w:rsidR="00341A12" w:rsidRPr="00BD4B00">
        <w:rPr>
          <w:rFonts w:asciiTheme="majorBidi" w:hAnsiTheme="majorBidi" w:cstheme="majorBidi"/>
          <w:rtl/>
          <w:lang w:bidi="ar-MA"/>
        </w:rPr>
        <w:t xml:space="preserve">من سنة </w:t>
      </w:r>
      <w:r w:rsidR="00C05B4E" w:rsidRPr="00BD4B00">
        <w:rPr>
          <w:rFonts w:asciiTheme="majorBidi" w:hAnsiTheme="majorBidi" w:cstheme="majorBidi"/>
          <w:rtl/>
          <w:lang w:bidi="ar-MA"/>
        </w:rPr>
        <w:t>2022</w:t>
      </w:r>
      <w:r w:rsidRPr="00BD4B00">
        <w:rPr>
          <w:rFonts w:asciiTheme="majorBidi" w:hAnsiTheme="majorBidi" w:cstheme="majorBidi"/>
          <w:rtl/>
          <w:lang w:bidi="ar-MA"/>
        </w:rPr>
        <w:t>، أن الظروف غير ملائمة للقيام بشراء سلع مستديمة في حين رأت</w:t>
      </w:r>
      <w:r w:rsidR="00405CC9" w:rsidRPr="00BD4B00">
        <w:rPr>
          <w:rFonts w:asciiTheme="majorBidi" w:hAnsiTheme="majorBidi" w:cstheme="majorBidi"/>
          <w:lang w:bidi="ar-MA"/>
        </w:rPr>
        <w:t xml:space="preserve"> %9,6 </w:t>
      </w:r>
      <w:r w:rsidRPr="00BD4B00">
        <w:rPr>
          <w:rFonts w:asciiTheme="majorBidi" w:hAnsiTheme="majorBidi" w:cstheme="majorBidi"/>
          <w:rtl/>
          <w:lang w:bidi="ar-MA"/>
        </w:rPr>
        <w:t xml:space="preserve">عكس ذلك. وهكذا استقر رصيد هذا المؤشر </w:t>
      </w:r>
      <w:r w:rsidR="00D46D1E" w:rsidRPr="00BD4B00">
        <w:rPr>
          <w:rFonts w:asciiTheme="majorBidi" w:hAnsiTheme="majorBidi" w:cstheme="majorBidi"/>
          <w:rtl/>
          <w:lang w:bidi="ar-MA"/>
        </w:rPr>
        <w:t xml:space="preserve">في </w:t>
      </w:r>
      <w:r w:rsidR="00604FCE" w:rsidRPr="00BD4B00">
        <w:rPr>
          <w:rFonts w:asciiTheme="majorBidi" w:hAnsiTheme="majorBidi" w:cstheme="majorBidi"/>
          <w:rtl/>
          <w:lang w:bidi="ar-MA"/>
        </w:rPr>
        <w:t>مستوى سلبي</w:t>
      </w:r>
      <w:r w:rsidR="00D46D1E" w:rsidRPr="00BD4B00">
        <w:rPr>
          <w:rFonts w:asciiTheme="majorBidi" w:hAnsiTheme="majorBidi" w:cstheme="majorBidi"/>
          <w:b/>
          <w:bCs/>
          <w:rtl/>
          <w:lang w:bidi="ar-MA"/>
        </w:rPr>
        <w:t xml:space="preserve"> </w:t>
      </w:r>
      <w:r w:rsidR="004C3014" w:rsidRPr="00BD4B00">
        <w:rPr>
          <w:rFonts w:asciiTheme="majorBidi" w:hAnsiTheme="majorBidi" w:cstheme="majorBidi"/>
          <w:rtl/>
          <w:lang w:bidi="ar-MA"/>
        </w:rPr>
        <w:t>بلغ</w:t>
      </w:r>
      <w:r w:rsidRPr="00BD4B00">
        <w:rPr>
          <w:rFonts w:asciiTheme="majorBidi" w:hAnsiTheme="majorBidi" w:cstheme="majorBidi"/>
          <w:rtl/>
          <w:lang w:bidi="ar-MA"/>
        </w:rPr>
        <w:t xml:space="preserve"> ناقص</w:t>
      </w:r>
      <w:r w:rsidR="00405CC9" w:rsidRPr="00BD4B00">
        <w:rPr>
          <w:rFonts w:asciiTheme="majorBidi" w:hAnsiTheme="majorBidi" w:cstheme="majorBidi"/>
          <w:color w:val="000000"/>
        </w:rPr>
        <w:t xml:space="preserve">70,3 </w:t>
      </w:r>
      <w:r w:rsidR="00536873" w:rsidRPr="00BD4B00">
        <w:rPr>
          <w:rFonts w:asciiTheme="majorBidi" w:hAnsiTheme="majorBidi" w:cstheme="majorBidi"/>
          <w:color w:val="000000"/>
          <w:rtl/>
        </w:rPr>
        <w:t xml:space="preserve"> </w:t>
      </w:r>
      <w:r w:rsidRPr="00BD4B00">
        <w:rPr>
          <w:rFonts w:asciiTheme="majorBidi" w:hAnsiTheme="majorBidi" w:cstheme="majorBidi"/>
          <w:rtl/>
          <w:lang w:bidi="ar-MA"/>
        </w:rPr>
        <w:t>نقطة مقابل ناقص</w:t>
      </w:r>
      <w:r w:rsidR="00A71491" w:rsidRPr="00BD4B00">
        <w:rPr>
          <w:rFonts w:asciiTheme="majorBidi" w:hAnsiTheme="majorBidi" w:cstheme="majorBidi"/>
          <w:rtl/>
          <w:lang w:bidi="ar-MA"/>
        </w:rPr>
        <w:t xml:space="preserve"> </w:t>
      </w:r>
      <w:r w:rsidR="00A71491" w:rsidRPr="00BD4B00">
        <w:rPr>
          <w:rFonts w:asciiTheme="majorBidi" w:hAnsiTheme="majorBidi" w:cstheme="majorBidi"/>
          <w:color w:val="000000"/>
          <w:rtl/>
        </w:rPr>
        <w:t xml:space="preserve">74,0 </w:t>
      </w:r>
      <w:r w:rsidRPr="00BD4B00">
        <w:rPr>
          <w:rFonts w:asciiTheme="majorBidi" w:hAnsiTheme="majorBidi" w:cstheme="majorBidi"/>
          <w:rtl/>
          <w:lang w:bidi="ar-MA"/>
        </w:rPr>
        <w:t xml:space="preserve">نقطة خلال الفصل السابق وناقص </w:t>
      </w:r>
      <w:r w:rsidR="00405CC9" w:rsidRPr="00BD4B00">
        <w:rPr>
          <w:rFonts w:asciiTheme="majorBidi" w:hAnsiTheme="majorBidi" w:cstheme="majorBidi"/>
          <w:lang w:bidi="ar-MA"/>
        </w:rPr>
        <w:t>62,8</w:t>
      </w:r>
      <w:r w:rsidRPr="00BD4B00">
        <w:rPr>
          <w:rFonts w:asciiTheme="majorBidi" w:hAnsiTheme="majorBidi" w:cstheme="majorBidi"/>
          <w:rtl/>
          <w:lang w:bidi="ar-MA"/>
        </w:rPr>
        <w:t xml:space="preserve"> نقطة خلال </w:t>
      </w:r>
      <w:r w:rsidR="000746A2" w:rsidRPr="00BD4B00">
        <w:rPr>
          <w:rFonts w:asciiTheme="majorBidi" w:hAnsiTheme="majorBidi" w:cstheme="majorBidi"/>
          <w:rtl/>
          <w:lang w:bidi="ar-MA"/>
        </w:rPr>
        <w:t>نفس ال</w:t>
      </w:r>
      <w:r w:rsidR="00C866CD" w:rsidRPr="00BD4B00">
        <w:rPr>
          <w:rFonts w:asciiTheme="majorBidi" w:hAnsiTheme="majorBidi" w:cstheme="majorBidi"/>
          <w:rtl/>
          <w:lang w:bidi="ar-MA"/>
        </w:rPr>
        <w:t>فصل</w:t>
      </w:r>
      <w:r w:rsidR="000746A2" w:rsidRPr="00BD4B00">
        <w:rPr>
          <w:rFonts w:asciiTheme="majorBidi" w:hAnsiTheme="majorBidi" w:cstheme="majorBidi"/>
          <w:rtl/>
          <w:lang w:bidi="ar-MA"/>
        </w:rPr>
        <w:t xml:space="preserve"> </w:t>
      </w:r>
      <w:r w:rsidRPr="00BD4B00">
        <w:rPr>
          <w:rFonts w:asciiTheme="majorBidi" w:hAnsiTheme="majorBidi" w:cstheme="majorBidi"/>
          <w:rtl/>
          <w:lang w:bidi="ar-MA"/>
        </w:rPr>
        <w:t xml:space="preserve">من </w:t>
      </w:r>
      <w:r w:rsidR="000746A2" w:rsidRPr="00BD4B00">
        <w:rPr>
          <w:rFonts w:asciiTheme="majorBidi" w:hAnsiTheme="majorBidi" w:cstheme="majorBidi"/>
          <w:rtl/>
          <w:lang w:bidi="ar-MA"/>
        </w:rPr>
        <w:t xml:space="preserve">سنة </w:t>
      </w:r>
      <w:r w:rsidR="002D48A5" w:rsidRPr="00BD4B00">
        <w:rPr>
          <w:rFonts w:asciiTheme="majorBidi" w:hAnsiTheme="majorBidi" w:cstheme="majorBidi"/>
          <w:rtl/>
          <w:lang w:bidi="ar-MA"/>
        </w:rPr>
        <w:t>2021</w:t>
      </w:r>
      <w:r w:rsidR="000746A2" w:rsidRPr="00BD4B00">
        <w:rPr>
          <w:rFonts w:asciiTheme="majorBidi" w:hAnsiTheme="majorBidi" w:cstheme="majorBidi"/>
          <w:lang w:bidi="ar-MA"/>
        </w:rPr>
        <w:t>.</w:t>
      </w:r>
    </w:p>
    <w:p w:rsidR="00B5783F" w:rsidRDefault="00B5783F" w:rsidP="00BD4B00">
      <w:pPr>
        <w:bidi/>
        <w:spacing w:line="360" w:lineRule="auto"/>
        <w:jc w:val="both"/>
        <w:rPr>
          <w:rFonts w:asciiTheme="majorBidi" w:hAnsiTheme="majorBidi" w:cstheme="majorBidi"/>
          <w:rtl/>
          <w:lang w:bidi="ar-MA"/>
        </w:rPr>
      </w:pPr>
    </w:p>
    <w:p w:rsidR="00BD4B00" w:rsidRDefault="00BD4B00" w:rsidP="00BD4B00">
      <w:pPr>
        <w:bidi/>
        <w:spacing w:line="360" w:lineRule="auto"/>
        <w:jc w:val="both"/>
        <w:rPr>
          <w:rFonts w:asciiTheme="majorBidi" w:hAnsiTheme="majorBidi" w:cstheme="majorBidi"/>
          <w:rtl/>
          <w:lang w:bidi="ar-MA"/>
        </w:rPr>
      </w:pPr>
    </w:p>
    <w:p w:rsidR="00BD4B00" w:rsidRDefault="00BD4B00" w:rsidP="00BD4B00">
      <w:pPr>
        <w:bidi/>
        <w:spacing w:line="360" w:lineRule="auto"/>
        <w:jc w:val="both"/>
        <w:rPr>
          <w:rFonts w:asciiTheme="majorBidi" w:hAnsiTheme="majorBidi" w:cstheme="majorBidi"/>
          <w:rtl/>
          <w:lang w:bidi="ar-MA"/>
        </w:rPr>
      </w:pPr>
    </w:p>
    <w:p w:rsidR="00BD4B00" w:rsidRDefault="00BD4B00" w:rsidP="00BD4B00">
      <w:pPr>
        <w:bidi/>
        <w:spacing w:line="360" w:lineRule="auto"/>
        <w:jc w:val="both"/>
        <w:rPr>
          <w:rFonts w:asciiTheme="majorBidi" w:hAnsiTheme="majorBidi" w:cstheme="majorBidi"/>
          <w:rtl/>
          <w:lang w:bidi="ar-MA"/>
        </w:rPr>
      </w:pPr>
    </w:p>
    <w:p w:rsidR="00BD4B00" w:rsidRDefault="00BD4B00" w:rsidP="00BD4B00">
      <w:pPr>
        <w:bidi/>
        <w:spacing w:line="360" w:lineRule="auto"/>
        <w:jc w:val="both"/>
        <w:rPr>
          <w:rFonts w:asciiTheme="majorBidi" w:hAnsiTheme="majorBidi" w:cstheme="majorBidi"/>
          <w:rtl/>
          <w:lang w:bidi="ar-MA"/>
        </w:rPr>
      </w:pPr>
    </w:p>
    <w:p w:rsidR="00BD4B00" w:rsidRDefault="00BD4B00" w:rsidP="00BD4B00">
      <w:pPr>
        <w:bidi/>
        <w:spacing w:line="360" w:lineRule="auto"/>
        <w:jc w:val="both"/>
        <w:rPr>
          <w:rFonts w:asciiTheme="majorBidi" w:hAnsiTheme="majorBidi" w:cstheme="majorBidi"/>
          <w:rtl/>
          <w:lang w:bidi="ar-MA"/>
        </w:rPr>
      </w:pPr>
    </w:p>
    <w:p w:rsidR="00A52724" w:rsidRPr="00BD4B00" w:rsidRDefault="00B5783F" w:rsidP="00BD4B00">
      <w:pPr>
        <w:bidi/>
        <w:spacing w:line="360" w:lineRule="auto"/>
        <w:jc w:val="both"/>
        <w:rPr>
          <w:rFonts w:asciiTheme="majorBidi" w:hAnsiTheme="majorBidi" w:cstheme="majorBidi"/>
          <w:lang w:bidi="ar-MA"/>
        </w:rPr>
      </w:pPr>
      <w:r w:rsidRPr="00BD4B00">
        <w:rPr>
          <w:rFonts w:asciiTheme="majorBidi" w:hAnsiTheme="majorBidi" w:cstheme="majorBidi"/>
          <w:b/>
          <w:bCs/>
          <w:sz w:val="26"/>
          <w:szCs w:val="26"/>
          <w:rtl/>
          <w:lang w:bidi="ar-DZ"/>
        </w:rPr>
        <w:lastRenderedPageBreak/>
        <w:t xml:space="preserve">مبيان 4: </w:t>
      </w:r>
      <w:r w:rsidRPr="00BD4B00">
        <w:rPr>
          <w:rFonts w:asciiTheme="majorBidi" w:hAnsiTheme="majorBidi" w:cstheme="majorBidi"/>
          <w:b/>
          <w:bCs/>
          <w:sz w:val="26"/>
          <w:szCs w:val="26"/>
          <w:rtl/>
          <w:lang w:bidi="ar-MA"/>
        </w:rPr>
        <w:t>فرص اقتناء السلع المستديمة (أرصدة الآراء)</w:t>
      </w:r>
      <w:r w:rsidRPr="00BD4B00">
        <w:rPr>
          <w:rFonts w:asciiTheme="majorBidi" w:hAnsiTheme="majorBidi" w:cstheme="majorBidi"/>
          <w:b/>
          <w:bCs/>
          <w:sz w:val="26"/>
          <w:szCs w:val="26"/>
          <w:lang w:bidi="ar-DZ"/>
        </w:rPr>
        <w:t xml:space="preserve"> </w:t>
      </w:r>
    </w:p>
    <w:p w:rsidR="00A52724" w:rsidRPr="00BD4B00" w:rsidRDefault="00A52724" w:rsidP="00BD4B00">
      <w:pPr>
        <w:bidi/>
        <w:spacing w:line="360" w:lineRule="auto"/>
        <w:jc w:val="both"/>
        <w:rPr>
          <w:rFonts w:asciiTheme="majorBidi" w:hAnsiTheme="majorBidi" w:cstheme="majorBidi"/>
          <w:rtl/>
          <w:lang w:bidi="ar-DZ"/>
        </w:rPr>
      </w:pPr>
      <w:r w:rsidRPr="00BD4B00">
        <w:rPr>
          <w:rFonts w:asciiTheme="majorBidi" w:hAnsiTheme="majorBidi" w:cstheme="majorBidi"/>
          <w:noProof/>
        </w:rPr>
        <w:drawing>
          <wp:inline distT="0" distB="0" distL="0" distR="0">
            <wp:extent cx="5935497" cy="4299045"/>
            <wp:effectExtent l="19050" t="0" r="27153" b="6255"/>
            <wp:docPr id="10" name="Graphique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7F7CAA" w:rsidRPr="00BD4B00" w:rsidRDefault="00B5783F" w:rsidP="00BD4B00">
      <w:pPr>
        <w:shd w:val="clear" w:color="auto" w:fill="FFFFFF" w:themeFill="background1"/>
        <w:bidi/>
        <w:spacing w:line="360" w:lineRule="auto"/>
        <w:jc w:val="both"/>
        <w:rPr>
          <w:rFonts w:asciiTheme="majorBidi" w:hAnsiTheme="majorBidi" w:cstheme="majorBidi"/>
          <w:noProof/>
          <w:rtl/>
        </w:rPr>
      </w:pPr>
      <w:r w:rsidRPr="00BD4B00">
        <w:rPr>
          <w:rFonts w:asciiTheme="majorBidi" w:hAnsiTheme="majorBidi" w:cstheme="majorBidi"/>
          <w:b/>
          <w:bCs/>
          <w:color w:val="202124"/>
          <w:sz w:val="22"/>
          <w:szCs w:val="22"/>
          <w:rtl/>
        </w:rPr>
        <w:t>المصدر</w:t>
      </w:r>
      <w:r w:rsidRPr="00BD4B00">
        <w:rPr>
          <w:rFonts w:asciiTheme="majorBidi" w:hAnsiTheme="majorBidi" w:cstheme="majorBidi"/>
          <w:b/>
          <w:bCs/>
          <w:color w:val="202124"/>
          <w:sz w:val="22"/>
          <w:szCs w:val="22"/>
        </w:rPr>
        <w:t xml:space="preserve">: </w:t>
      </w:r>
      <w:r w:rsidRPr="00BD4B00">
        <w:rPr>
          <w:rFonts w:asciiTheme="majorBidi" w:hAnsiTheme="majorBidi" w:cstheme="majorBidi"/>
          <w:b/>
          <w:bCs/>
          <w:color w:val="202124"/>
          <w:sz w:val="22"/>
          <w:szCs w:val="22"/>
          <w:rtl/>
        </w:rPr>
        <w:t>المندوبية السامية للتخطيط، البحث الوطني الدائم حول الظرفية لدى الأسر</w:t>
      </w:r>
    </w:p>
    <w:p w:rsidR="00127CFC" w:rsidRPr="00BD4B00" w:rsidRDefault="00127CFC" w:rsidP="00BD4B00">
      <w:pPr>
        <w:bidi/>
        <w:spacing w:line="360" w:lineRule="auto"/>
        <w:jc w:val="both"/>
        <w:rPr>
          <w:rFonts w:asciiTheme="majorBidi" w:hAnsiTheme="majorBidi" w:cstheme="majorBidi"/>
          <w:noProof/>
          <w:rtl/>
        </w:rPr>
      </w:pPr>
    </w:p>
    <w:p w:rsidR="00BD4B00" w:rsidRPr="00BD4B00" w:rsidRDefault="000E68FD" w:rsidP="00BD4B00">
      <w:pPr>
        <w:pStyle w:val="Paragraphedeliste"/>
        <w:numPr>
          <w:ilvl w:val="1"/>
          <w:numId w:val="2"/>
        </w:numPr>
        <w:bidi/>
        <w:spacing w:before="240" w:line="360" w:lineRule="auto"/>
        <w:ind w:left="0"/>
        <w:jc w:val="both"/>
        <w:rPr>
          <w:rFonts w:asciiTheme="majorBidi" w:hAnsiTheme="majorBidi" w:cstheme="majorBidi"/>
          <w:b/>
          <w:bCs/>
          <w:sz w:val="30"/>
          <w:szCs w:val="30"/>
          <w:rtl/>
          <w:lang w:bidi="ar-MA"/>
        </w:rPr>
      </w:pPr>
      <w:r w:rsidRPr="00BD4B00">
        <w:rPr>
          <w:rFonts w:asciiTheme="majorBidi" w:hAnsiTheme="majorBidi" w:cstheme="majorBidi"/>
          <w:b/>
          <w:bCs/>
          <w:sz w:val="30"/>
          <w:szCs w:val="30"/>
          <w:rtl/>
          <w:lang w:bidi="ar-MA"/>
        </w:rPr>
        <w:t xml:space="preserve">إحساس الأسر </w:t>
      </w:r>
      <w:r w:rsidR="007708BE" w:rsidRPr="00BD4B00">
        <w:rPr>
          <w:rFonts w:asciiTheme="majorBidi" w:hAnsiTheme="majorBidi" w:cstheme="majorBidi"/>
          <w:b/>
          <w:bCs/>
          <w:sz w:val="30"/>
          <w:szCs w:val="30"/>
          <w:rtl/>
          <w:lang w:bidi="ar-MA"/>
        </w:rPr>
        <w:t xml:space="preserve">بتدهور </w:t>
      </w:r>
      <w:r w:rsidR="00605BAD" w:rsidRPr="00BD4B00">
        <w:rPr>
          <w:rFonts w:asciiTheme="majorBidi" w:hAnsiTheme="majorBidi" w:cstheme="majorBidi"/>
          <w:b/>
          <w:bCs/>
          <w:sz w:val="30"/>
          <w:szCs w:val="30"/>
          <w:rtl/>
          <w:lang w:bidi="ar-MA"/>
        </w:rPr>
        <w:t>وضعي</w:t>
      </w:r>
      <w:r w:rsidRPr="00BD4B00">
        <w:rPr>
          <w:rFonts w:asciiTheme="majorBidi" w:hAnsiTheme="majorBidi" w:cstheme="majorBidi"/>
          <w:b/>
          <w:bCs/>
          <w:sz w:val="30"/>
          <w:szCs w:val="30"/>
          <w:rtl/>
          <w:lang w:bidi="ar-MA"/>
        </w:rPr>
        <w:t>تهم</w:t>
      </w:r>
      <w:r w:rsidR="00605BAD" w:rsidRPr="00BD4B00">
        <w:rPr>
          <w:rFonts w:asciiTheme="majorBidi" w:hAnsiTheme="majorBidi" w:cstheme="majorBidi"/>
          <w:b/>
          <w:bCs/>
          <w:sz w:val="30"/>
          <w:szCs w:val="30"/>
          <w:rtl/>
          <w:lang w:bidi="ar-MA"/>
        </w:rPr>
        <w:t xml:space="preserve"> المالية</w:t>
      </w:r>
    </w:p>
    <w:p w:rsidR="0047396E" w:rsidRPr="00BD4B00" w:rsidRDefault="0047396E" w:rsidP="00BD4B00">
      <w:pPr>
        <w:pStyle w:val="Paragraphedeliste"/>
        <w:bidi/>
        <w:spacing w:before="240" w:line="360" w:lineRule="auto"/>
        <w:ind w:left="0"/>
        <w:jc w:val="both"/>
        <w:rPr>
          <w:rFonts w:asciiTheme="majorBidi" w:hAnsiTheme="majorBidi" w:cstheme="majorBidi"/>
          <w:lang w:bidi="ar-MA"/>
        </w:rPr>
      </w:pPr>
      <w:r w:rsidRPr="00BD4B00">
        <w:rPr>
          <w:rFonts w:asciiTheme="majorBidi" w:hAnsiTheme="majorBidi" w:cstheme="majorBidi"/>
          <w:rtl/>
          <w:lang w:bidi="ar-MA"/>
        </w:rPr>
        <w:t xml:space="preserve">صرحت </w:t>
      </w:r>
      <w:r w:rsidR="002A0D19" w:rsidRPr="00BD4B00">
        <w:rPr>
          <w:rFonts w:asciiTheme="majorBidi" w:hAnsiTheme="majorBidi" w:cstheme="majorBidi"/>
          <w:lang w:bidi="ar-MA"/>
        </w:rPr>
        <w:t>%</w:t>
      </w:r>
      <w:r w:rsidR="002D48A5" w:rsidRPr="00BD4B00">
        <w:rPr>
          <w:rFonts w:asciiTheme="majorBidi" w:hAnsiTheme="majorBidi" w:cstheme="majorBidi"/>
          <w:rtl/>
          <w:lang w:bidi="ar-MA"/>
        </w:rPr>
        <w:t xml:space="preserve">52,0 </w:t>
      </w:r>
      <w:r w:rsidR="002A0D19" w:rsidRPr="00BD4B00">
        <w:rPr>
          <w:rFonts w:asciiTheme="majorBidi" w:hAnsiTheme="majorBidi" w:cstheme="majorBidi"/>
          <w:lang w:bidi="ar-MA"/>
        </w:rPr>
        <w:t xml:space="preserve"> </w:t>
      </w:r>
      <w:r w:rsidRPr="00BD4B00">
        <w:rPr>
          <w:rFonts w:asciiTheme="majorBidi" w:hAnsiTheme="majorBidi" w:cstheme="majorBidi"/>
          <w:rtl/>
          <w:lang w:bidi="ar-MA"/>
        </w:rPr>
        <w:t xml:space="preserve">من </w:t>
      </w:r>
      <w:r w:rsidR="00CF15A7" w:rsidRPr="00BD4B00">
        <w:rPr>
          <w:rFonts w:asciiTheme="majorBidi" w:hAnsiTheme="majorBidi" w:cstheme="majorBidi"/>
          <w:rtl/>
          <w:lang w:bidi="ar-MA"/>
        </w:rPr>
        <w:t>الأسر،</w:t>
      </w:r>
      <w:r w:rsidRPr="00BD4B00">
        <w:rPr>
          <w:rFonts w:asciiTheme="majorBidi" w:hAnsiTheme="majorBidi" w:cstheme="majorBidi"/>
          <w:rtl/>
          <w:lang w:bidi="ar-MA"/>
        </w:rPr>
        <w:t xml:space="preserve"> </w:t>
      </w:r>
      <w:r w:rsidR="00BA32A3" w:rsidRPr="00BD4B00">
        <w:rPr>
          <w:rFonts w:asciiTheme="majorBidi" w:hAnsiTheme="majorBidi" w:cstheme="majorBidi"/>
          <w:rtl/>
          <w:lang w:bidi="ar-MA"/>
        </w:rPr>
        <w:t xml:space="preserve">خلال </w:t>
      </w:r>
      <w:r w:rsidR="00C866CD" w:rsidRPr="00BD4B00">
        <w:rPr>
          <w:rFonts w:asciiTheme="majorBidi" w:hAnsiTheme="majorBidi" w:cstheme="majorBidi"/>
          <w:rtl/>
          <w:lang w:bidi="ar-MA"/>
        </w:rPr>
        <w:t xml:space="preserve">الفصل الرابع </w:t>
      </w:r>
      <w:r w:rsidR="00BA32A3" w:rsidRPr="00BD4B00">
        <w:rPr>
          <w:rFonts w:asciiTheme="majorBidi" w:hAnsiTheme="majorBidi" w:cstheme="majorBidi"/>
          <w:rtl/>
          <w:lang w:bidi="ar-MA"/>
        </w:rPr>
        <w:t xml:space="preserve">من سنة </w:t>
      </w:r>
      <w:r w:rsidR="00C05B4E" w:rsidRPr="00BD4B00">
        <w:rPr>
          <w:rFonts w:asciiTheme="majorBidi" w:hAnsiTheme="majorBidi" w:cstheme="majorBidi"/>
          <w:rtl/>
          <w:lang w:bidi="ar-MA"/>
        </w:rPr>
        <w:t>2022</w:t>
      </w:r>
      <w:r w:rsidRPr="00BD4B00">
        <w:rPr>
          <w:rFonts w:asciiTheme="majorBidi" w:hAnsiTheme="majorBidi" w:cstheme="majorBidi"/>
          <w:rtl/>
          <w:lang w:bidi="ar-MA"/>
        </w:rPr>
        <w:t xml:space="preserve">، أن مداخيلها تغطي مصاريفها، فيما استنزفت </w:t>
      </w:r>
      <w:r w:rsidR="002D48A5" w:rsidRPr="00BD4B00">
        <w:rPr>
          <w:rFonts w:asciiTheme="majorBidi" w:hAnsiTheme="majorBidi" w:cstheme="majorBidi"/>
          <w:rtl/>
          <w:lang w:bidi="ar-MA"/>
        </w:rPr>
        <w:t xml:space="preserve">45,0 </w:t>
      </w:r>
      <w:r w:rsidR="002D48A5" w:rsidRPr="00BD4B00">
        <w:rPr>
          <w:rFonts w:asciiTheme="majorBidi" w:hAnsiTheme="majorBidi" w:cstheme="majorBidi"/>
          <w:lang w:bidi="ar-MA"/>
        </w:rPr>
        <w:t>%</w:t>
      </w:r>
      <w:r w:rsidR="002D48A5" w:rsidRPr="00BD4B00">
        <w:rPr>
          <w:rFonts w:asciiTheme="majorBidi" w:hAnsiTheme="majorBidi" w:cstheme="majorBidi"/>
          <w:rtl/>
          <w:lang w:bidi="ar-MA"/>
        </w:rPr>
        <w:t xml:space="preserve"> </w:t>
      </w:r>
      <w:r w:rsidR="00CF15A7" w:rsidRPr="00BD4B00">
        <w:rPr>
          <w:rFonts w:asciiTheme="majorBidi" w:hAnsiTheme="majorBidi" w:cstheme="majorBidi"/>
          <w:rtl/>
          <w:lang w:bidi="ar-MA"/>
        </w:rPr>
        <w:t>من</w:t>
      </w:r>
      <w:r w:rsidRPr="00BD4B00">
        <w:rPr>
          <w:rFonts w:asciiTheme="majorBidi" w:hAnsiTheme="majorBidi" w:cstheme="majorBidi"/>
          <w:rtl/>
          <w:lang w:bidi="ar-MA"/>
        </w:rPr>
        <w:t xml:space="preserve"> مدخراتها أو لجأت إلى الاقتراض. ولا يتجاوز معدل الأسر التي تمكنت من ادخار جزء من مداخيلها</w:t>
      </w:r>
      <w:r w:rsidR="002A0D19" w:rsidRPr="00BD4B00">
        <w:rPr>
          <w:rFonts w:asciiTheme="majorBidi" w:hAnsiTheme="majorBidi" w:cstheme="majorBidi"/>
          <w:lang w:bidi="ar-MA"/>
        </w:rPr>
        <w:t xml:space="preserve"> </w:t>
      </w:r>
      <w:r w:rsidR="0085122C" w:rsidRPr="00BD4B00">
        <w:rPr>
          <w:rFonts w:asciiTheme="majorBidi" w:hAnsiTheme="majorBidi" w:cstheme="majorBidi"/>
          <w:rtl/>
          <w:lang w:bidi="ar-MA"/>
        </w:rPr>
        <w:t xml:space="preserve"> </w:t>
      </w:r>
      <w:r w:rsidR="002D48A5" w:rsidRPr="00BD4B00">
        <w:rPr>
          <w:rFonts w:asciiTheme="majorBidi" w:hAnsiTheme="majorBidi" w:cstheme="majorBidi"/>
          <w:rtl/>
          <w:lang w:bidi="ar-MA"/>
        </w:rPr>
        <w:t xml:space="preserve">3,0 </w:t>
      </w:r>
      <w:r w:rsidR="007923EA" w:rsidRPr="00BD4B00">
        <w:rPr>
          <w:rFonts w:asciiTheme="majorBidi" w:hAnsiTheme="majorBidi" w:cstheme="majorBidi"/>
          <w:lang w:bidi="ar-MA"/>
        </w:rPr>
        <w:t>%</w:t>
      </w:r>
      <w:r w:rsidR="007923EA" w:rsidRPr="00BD4B00">
        <w:rPr>
          <w:rFonts w:asciiTheme="majorBidi" w:hAnsiTheme="majorBidi" w:cstheme="majorBidi"/>
          <w:rtl/>
          <w:lang w:bidi="ar-MA"/>
        </w:rPr>
        <w:t>. وهكذا</w:t>
      </w:r>
      <w:r w:rsidRPr="00BD4B00">
        <w:rPr>
          <w:rFonts w:asciiTheme="majorBidi" w:hAnsiTheme="majorBidi" w:cstheme="majorBidi"/>
          <w:rtl/>
          <w:lang w:bidi="ar-MA"/>
        </w:rPr>
        <w:t xml:space="preserve"> استقر رصيد آراء الأسر حول وضعيتهم المالية الحالية في مستوى سلبي بلغ ناقص</w:t>
      </w:r>
      <w:r w:rsidR="00536873" w:rsidRPr="00BD4B00">
        <w:rPr>
          <w:rFonts w:asciiTheme="majorBidi" w:hAnsiTheme="majorBidi" w:cstheme="majorBidi"/>
          <w:rtl/>
          <w:lang w:bidi="ar-MA"/>
        </w:rPr>
        <w:t xml:space="preserve"> </w:t>
      </w:r>
      <w:r w:rsidR="002D48A5" w:rsidRPr="00BD4B00">
        <w:rPr>
          <w:rFonts w:asciiTheme="majorBidi" w:hAnsiTheme="majorBidi" w:cstheme="majorBidi"/>
          <w:rtl/>
          <w:lang w:bidi="ar-MA"/>
        </w:rPr>
        <w:t>42,0</w:t>
      </w:r>
      <w:r w:rsidRPr="00BD4B00">
        <w:rPr>
          <w:rFonts w:asciiTheme="majorBidi" w:hAnsiTheme="majorBidi" w:cstheme="majorBidi"/>
          <w:rtl/>
          <w:lang w:bidi="ar-MA"/>
        </w:rPr>
        <w:t xml:space="preserve"> </w:t>
      </w:r>
      <w:r w:rsidR="007923EA" w:rsidRPr="00BD4B00">
        <w:rPr>
          <w:rFonts w:asciiTheme="majorBidi" w:hAnsiTheme="majorBidi" w:cstheme="majorBidi"/>
          <w:rtl/>
          <w:lang w:bidi="ar-MA"/>
        </w:rPr>
        <w:t>نقطة</w:t>
      </w:r>
      <w:r w:rsidR="007923EA" w:rsidRPr="00BD4B00">
        <w:rPr>
          <w:rFonts w:asciiTheme="majorBidi" w:hAnsiTheme="majorBidi" w:cstheme="majorBidi"/>
          <w:lang w:bidi="ar-MA"/>
        </w:rPr>
        <w:t xml:space="preserve"> </w:t>
      </w:r>
      <w:r w:rsidR="007923EA" w:rsidRPr="00BD4B00">
        <w:rPr>
          <w:rFonts w:asciiTheme="majorBidi" w:hAnsiTheme="majorBidi" w:cstheme="majorBidi"/>
          <w:rtl/>
          <w:lang w:bidi="ar-MA"/>
        </w:rPr>
        <w:t>مقابل ناقص</w:t>
      </w:r>
      <w:r w:rsidR="00BE7894" w:rsidRPr="00BD4B00">
        <w:rPr>
          <w:rFonts w:asciiTheme="majorBidi" w:hAnsiTheme="majorBidi" w:cstheme="majorBidi"/>
          <w:lang w:bidi="ar-MA"/>
        </w:rPr>
        <w:t xml:space="preserve">40,9 </w:t>
      </w:r>
      <w:r w:rsidR="00536873" w:rsidRPr="00BD4B00">
        <w:rPr>
          <w:rFonts w:asciiTheme="majorBidi" w:hAnsiTheme="majorBidi" w:cstheme="majorBidi"/>
          <w:rtl/>
          <w:lang w:bidi="ar-MA"/>
        </w:rPr>
        <w:t xml:space="preserve"> </w:t>
      </w:r>
      <w:r w:rsidRPr="00BD4B00">
        <w:rPr>
          <w:rFonts w:asciiTheme="majorBidi" w:hAnsiTheme="majorBidi" w:cstheme="majorBidi"/>
          <w:rtl/>
          <w:lang w:bidi="ar-MA"/>
        </w:rPr>
        <w:t xml:space="preserve">نقطة خلال الفصل السابق </w:t>
      </w:r>
      <w:r w:rsidR="00CF15A7" w:rsidRPr="00BD4B00">
        <w:rPr>
          <w:rFonts w:asciiTheme="majorBidi" w:hAnsiTheme="majorBidi" w:cstheme="majorBidi"/>
          <w:rtl/>
          <w:lang w:bidi="ar-MA"/>
        </w:rPr>
        <w:t xml:space="preserve">وناقص </w:t>
      </w:r>
      <w:r w:rsidR="00BE7894" w:rsidRPr="00BD4B00">
        <w:rPr>
          <w:rFonts w:asciiTheme="majorBidi" w:hAnsiTheme="majorBidi" w:cstheme="majorBidi"/>
          <w:lang w:bidi="ar-MA"/>
        </w:rPr>
        <w:t>40,4</w:t>
      </w:r>
      <w:r w:rsidR="00536873" w:rsidRPr="00BD4B00">
        <w:rPr>
          <w:rFonts w:asciiTheme="majorBidi" w:hAnsiTheme="majorBidi" w:cstheme="majorBidi"/>
          <w:rtl/>
          <w:lang w:bidi="ar-MA"/>
        </w:rPr>
        <w:t xml:space="preserve"> </w:t>
      </w:r>
      <w:r w:rsidRPr="00BD4B00">
        <w:rPr>
          <w:rFonts w:asciiTheme="majorBidi" w:hAnsiTheme="majorBidi" w:cstheme="majorBidi"/>
          <w:rtl/>
          <w:lang w:bidi="ar-MA"/>
        </w:rPr>
        <w:t>نقطة خلال نفس الفصل من السنة الماضية.</w:t>
      </w:r>
      <w:r w:rsidRPr="00BD4B00">
        <w:rPr>
          <w:rFonts w:asciiTheme="majorBidi" w:hAnsiTheme="majorBidi" w:cstheme="majorBidi"/>
          <w:lang w:bidi="ar-MA"/>
        </w:rPr>
        <w:t xml:space="preserve"> </w:t>
      </w:r>
    </w:p>
    <w:p w:rsidR="0047396E" w:rsidRPr="00BD4B00" w:rsidRDefault="0047396E" w:rsidP="00BD4B00">
      <w:pPr>
        <w:bidi/>
        <w:spacing w:before="240" w:line="360" w:lineRule="auto"/>
        <w:jc w:val="both"/>
        <w:rPr>
          <w:rFonts w:asciiTheme="majorBidi" w:hAnsiTheme="majorBidi" w:cstheme="majorBidi"/>
          <w:rtl/>
          <w:lang w:bidi="ar-MA"/>
        </w:rPr>
      </w:pPr>
      <w:r w:rsidRPr="00BD4B00">
        <w:rPr>
          <w:rFonts w:asciiTheme="majorBidi" w:hAnsiTheme="majorBidi" w:cstheme="majorBidi"/>
          <w:rtl/>
          <w:lang w:bidi="ar-MA"/>
        </w:rPr>
        <w:t xml:space="preserve">وبخصوص تطور الوضعية المالية للأسر خلال 12 شهرا الماضية، صرحت </w:t>
      </w:r>
      <w:r w:rsidR="00BE7894" w:rsidRPr="00BD4B00">
        <w:rPr>
          <w:rFonts w:asciiTheme="majorBidi" w:hAnsiTheme="majorBidi" w:cstheme="majorBidi"/>
          <w:lang w:bidi="ar-MA"/>
        </w:rPr>
        <w:t>57,8</w:t>
      </w:r>
      <w:r w:rsidR="00CF15A7" w:rsidRPr="00BD4B00">
        <w:rPr>
          <w:rFonts w:asciiTheme="majorBidi" w:hAnsiTheme="majorBidi" w:cstheme="majorBidi"/>
          <w:rtl/>
          <w:lang w:bidi="ar-MA"/>
        </w:rPr>
        <w:t xml:space="preserve"> </w:t>
      </w:r>
      <w:r w:rsidR="00CF15A7" w:rsidRPr="00BD4B00">
        <w:rPr>
          <w:rFonts w:asciiTheme="majorBidi" w:hAnsiTheme="majorBidi" w:cstheme="majorBidi"/>
          <w:lang w:bidi="ar-MA"/>
        </w:rPr>
        <w:t xml:space="preserve"> %</w:t>
      </w:r>
      <w:r w:rsidRPr="00BD4B00">
        <w:rPr>
          <w:rFonts w:asciiTheme="majorBidi" w:hAnsiTheme="majorBidi" w:cstheme="majorBidi"/>
          <w:rtl/>
          <w:lang w:bidi="ar-MA"/>
        </w:rPr>
        <w:t xml:space="preserve">من الأسر مقابل </w:t>
      </w:r>
      <w:r w:rsidR="00BE7894" w:rsidRPr="00BD4B00">
        <w:rPr>
          <w:rFonts w:asciiTheme="majorBidi" w:hAnsiTheme="majorBidi" w:cstheme="majorBidi"/>
          <w:lang w:bidi="ar-MA"/>
        </w:rPr>
        <w:t>4,8</w:t>
      </w:r>
      <w:r w:rsidR="008F2A8F" w:rsidRPr="00BD4B00">
        <w:rPr>
          <w:rFonts w:asciiTheme="majorBidi" w:hAnsiTheme="majorBidi" w:cstheme="majorBidi"/>
          <w:rtl/>
          <w:lang w:bidi="ar-MA"/>
        </w:rPr>
        <w:t xml:space="preserve"> </w:t>
      </w:r>
      <w:r w:rsidRPr="00BD4B00">
        <w:rPr>
          <w:rFonts w:asciiTheme="majorBidi" w:hAnsiTheme="majorBidi" w:cstheme="majorBidi"/>
          <w:lang w:bidi="ar-MA"/>
        </w:rPr>
        <w:t>%</w:t>
      </w:r>
      <w:r w:rsidRPr="00BD4B00">
        <w:rPr>
          <w:rFonts w:asciiTheme="majorBidi" w:hAnsiTheme="majorBidi" w:cstheme="majorBidi"/>
          <w:rtl/>
          <w:lang w:bidi="ar-MA"/>
        </w:rPr>
        <w:t xml:space="preserve"> بتدهورها. وبذلك </w:t>
      </w:r>
      <w:r w:rsidR="007708BE" w:rsidRPr="00BD4B00">
        <w:rPr>
          <w:rFonts w:asciiTheme="majorBidi" w:hAnsiTheme="majorBidi" w:cstheme="majorBidi"/>
          <w:rtl/>
          <w:lang w:bidi="ar-MA"/>
        </w:rPr>
        <w:t xml:space="preserve">استقر </w:t>
      </w:r>
      <w:r w:rsidR="004C3014" w:rsidRPr="00BD4B00">
        <w:rPr>
          <w:rFonts w:asciiTheme="majorBidi" w:hAnsiTheme="majorBidi" w:cstheme="majorBidi"/>
          <w:rtl/>
          <w:lang w:bidi="ar-MA"/>
        </w:rPr>
        <w:t xml:space="preserve">رصيد </w:t>
      </w:r>
      <w:r w:rsidRPr="00BD4B00">
        <w:rPr>
          <w:rFonts w:asciiTheme="majorBidi" w:hAnsiTheme="majorBidi" w:cstheme="majorBidi"/>
          <w:rtl/>
          <w:lang w:bidi="ar-MA"/>
        </w:rPr>
        <w:t>هذا ا</w:t>
      </w:r>
      <w:r w:rsidR="00A71491" w:rsidRPr="00BD4B00">
        <w:rPr>
          <w:rFonts w:asciiTheme="majorBidi" w:hAnsiTheme="majorBidi" w:cstheme="majorBidi"/>
          <w:rtl/>
          <w:lang w:bidi="ar-MA"/>
        </w:rPr>
        <w:t>لمؤشر</w:t>
      </w:r>
      <w:r w:rsidRPr="00BD4B00">
        <w:rPr>
          <w:rFonts w:asciiTheme="majorBidi" w:hAnsiTheme="majorBidi" w:cstheme="majorBidi"/>
          <w:rtl/>
          <w:lang w:bidi="ar-MA"/>
        </w:rPr>
        <w:t xml:space="preserve"> </w:t>
      </w:r>
      <w:r w:rsidR="007708BE" w:rsidRPr="00BD4B00">
        <w:rPr>
          <w:rFonts w:asciiTheme="majorBidi" w:hAnsiTheme="majorBidi" w:cstheme="majorBidi"/>
          <w:rtl/>
          <w:lang w:bidi="ar-MA"/>
        </w:rPr>
        <w:t xml:space="preserve">في </w:t>
      </w:r>
      <w:r w:rsidR="00A30C53" w:rsidRPr="00BD4B00">
        <w:rPr>
          <w:rFonts w:asciiTheme="majorBidi" w:hAnsiTheme="majorBidi" w:cstheme="majorBidi"/>
          <w:rtl/>
          <w:lang w:bidi="ar-MA"/>
        </w:rPr>
        <w:t xml:space="preserve">أدنى </w:t>
      </w:r>
      <w:r w:rsidR="007708BE" w:rsidRPr="00BD4B00">
        <w:rPr>
          <w:rFonts w:asciiTheme="majorBidi" w:hAnsiTheme="majorBidi" w:cstheme="majorBidi"/>
          <w:rtl/>
          <w:lang w:bidi="ar-MA"/>
        </w:rPr>
        <w:t>مستوى</w:t>
      </w:r>
      <w:r w:rsidR="00536873" w:rsidRPr="00BD4B00">
        <w:rPr>
          <w:rFonts w:asciiTheme="majorBidi" w:hAnsiTheme="majorBidi" w:cstheme="majorBidi"/>
          <w:rtl/>
          <w:lang w:bidi="ar-MA"/>
        </w:rPr>
        <w:t xml:space="preserve"> </w:t>
      </w:r>
      <w:r w:rsidR="00A30C53" w:rsidRPr="00BD4B00">
        <w:rPr>
          <w:rFonts w:asciiTheme="majorBidi" w:hAnsiTheme="majorBidi" w:cstheme="majorBidi"/>
          <w:rtl/>
          <w:lang w:bidi="ar-MA"/>
        </w:rPr>
        <w:t>له</w:t>
      </w:r>
      <w:r w:rsidR="007708BE" w:rsidRPr="00BD4B00">
        <w:rPr>
          <w:rFonts w:asciiTheme="majorBidi" w:hAnsiTheme="majorBidi" w:cstheme="majorBidi"/>
          <w:rtl/>
          <w:lang w:bidi="ar-DZ"/>
        </w:rPr>
        <w:t xml:space="preserve"> </w:t>
      </w:r>
      <w:r w:rsidRPr="00BD4B00">
        <w:rPr>
          <w:rFonts w:asciiTheme="majorBidi" w:hAnsiTheme="majorBidi" w:cstheme="majorBidi"/>
          <w:rtl/>
          <w:lang w:bidi="ar-MA"/>
        </w:rPr>
        <w:t>حيث بلغ ناقص</w:t>
      </w:r>
      <w:r w:rsidR="0040170F" w:rsidRPr="00BD4B00">
        <w:rPr>
          <w:rFonts w:asciiTheme="majorBidi" w:hAnsiTheme="majorBidi" w:cstheme="majorBidi"/>
          <w:rtl/>
          <w:lang w:bidi="ar-MA"/>
        </w:rPr>
        <w:t xml:space="preserve"> </w:t>
      </w:r>
      <w:r w:rsidR="00A30C53" w:rsidRPr="00BD4B00">
        <w:rPr>
          <w:rFonts w:asciiTheme="majorBidi" w:hAnsiTheme="majorBidi" w:cstheme="majorBidi"/>
          <w:rtl/>
          <w:lang w:bidi="ar-MA"/>
        </w:rPr>
        <w:t>53,0</w:t>
      </w:r>
      <w:r w:rsidR="0040170F" w:rsidRPr="00BD4B00">
        <w:rPr>
          <w:rFonts w:asciiTheme="majorBidi" w:hAnsiTheme="majorBidi" w:cstheme="majorBidi"/>
          <w:rtl/>
          <w:lang w:bidi="ar-MA"/>
        </w:rPr>
        <w:t xml:space="preserve"> </w:t>
      </w:r>
      <w:r w:rsidRPr="00BD4B00">
        <w:rPr>
          <w:rFonts w:asciiTheme="majorBidi" w:hAnsiTheme="majorBidi" w:cstheme="majorBidi"/>
          <w:rtl/>
          <w:lang w:bidi="ar-MA"/>
        </w:rPr>
        <w:t xml:space="preserve">نقطة </w:t>
      </w:r>
      <w:r w:rsidR="005C100E" w:rsidRPr="00BD4B00">
        <w:rPr>
          <w:rFonts w:asciiTheme="majorBidi" w:hAnsiTheme="majorBidi" w:cstheme="majorBidi"/>
          <w:rtl/>
          <w:lang w:bidi="ar-MA"/>
        </w:rPr>
        <w:t>مقابل</w:t>
      </w:r>
      <w:r w:rsidRPr="00BD4B00">
        <w:rPr>
          <w:rFonts w:asciiTheme="majorBidi" w:hAnsiTheme="majorBidi" w:cstheme="majorBidi"/>
          <w:rtl/>
          <w:lang w:bidi="ar-MA"/>
        </w:rPr>
        <w:t xml:space="preserve"> ناقص</w:t>
      </w:r>
      <w:r w:rsidRPr="00BD4B00">
        <w:rPr>
          <w:rFonts w:asciiTheme="majorBidi" w:hAnsiTheme="majorBidi" w:cstheme="majorBidi"/>
          <w:lang w:bidi="ar-MA"/>
        </w:rPr>
        <w:t xml:space="preserve"> </w:t>
      </w:r>
      <w:r w:rsidR="00BE7894" w:rsidRPr="00BD4B00">
        <w:rPr>
          <w:rFonts w:asciiTheme="majorBidi" w:hAnsiTheme="majorBidi" w:cstheme="majorBidi"/>
          <w:lang w:bidi="ar-MA"/>
        </w:rPr>
        <w:t>47,7</w:t>
      </w:r>
      <w:r w:rsidR="001D59A8" w:rsidRPr="00BD4B00">
        <w:rPr>
          <w:rFonts w:asciiTheme="majorBidi" w:hAnsiTheme="majorBidi" w:cstheme="majorBidi"/>
          <w:lang w:bidi="ar-MA"/>
        </w:rPr>
        <w:t xml:space="preserve"> </w:t>
      </w:r>
      <w:r w:rsidR="001D59A8" w:rsidRPr="00BD4B00">
        <w:rPr>
          <w:rFonts w:asciiTheme="majorBidi" w:hAnsiTheme="majorBidi" w:cstheme="majorBidi"/>
          <w:rtl/>
          <w:lang w:bidi="ar-MA"/>
        </w:rPr>
        <w:t>نقطة</w:t>
      </w:r>
      <w:r w:rsidRPr="00BD4B00">
        <w:rPr>
          <w:rFonts w:asciiTheme="majorBidi" w:hAnsiTheme="majorBidi" w:cstheme="majorBidi"/>
          <w:rtl/>
          <w:lang w:bidi="ar-MA"/>
        </w:rPr>
        <w:t xml:space="preserve"> </w:t>
      </w:r>
      <w:r w:rsidR="005C100E" w:rsidRPr="00BD4B00">
        <w:rPr>
          <w:rFonts w:asciiTheme="majorBidi" w:hAnsiTheme="majorBidi" w:cstheme="majorBidi"/>
          <w:rtl/>
          <w:lang w:bidi="ar-MA"/>
        </w:rPr>
        <w:t xml:space="preserve">خلال الفصل السابق </w:t>
      </w:r>
      <w:r w:rsidR="004C3014" w:rsidRPr="00BD4B00">
        <w:rPr>
          <w:rFonts w:asciiTheme="majorBidi" w:hAnsiTheme="majorBidi" w:cstheme="majorBidi"/>
          <w:rtl/>
          <w:lang w:bidi="ar-MA"/>
        </w:rPr>
        <w:t>و</w:t>
      </w:r>
      <w:r w:rsidRPr="00BD4B00">
        <w:rPr>
          <w:rFonts w:asciiTheme="majorBidi" w:hAnsiTheme="majorBidi" w:cstheme="majorBidi"/>
          <w:rtl/>
          <w:lang w:bidi="ar-MA"/>
        </w:rPr>
        <w:t>ناقص</w:t>
      </w:r>
      <w:r w:rsidR="001D59A8" w:rsidRPr="00BD4B00">
        <w:rPr>
          <w:rFonts w:asciiTheme="majorBidi" w:hAnsiTheme="majorBidi" w:cstheme="majorBidi"/>
          <w:lang w:bidi="ar-MA"/>
        </w:rPr>
        <w:t xml:space="preserve"> </w:t>
      </w:r>
      <w:r w:rsidR="00A30C53" w:rsidRPr="00BD4B00">
        <w:rPr>
          <w:rFonts w:asciiTheme="majorBidi" w:hAnsiTheme="majorBidi" w:cstheme="majorBidi"/>
          <w:rtl/>
          <w:lang w:bidi="ar-MA"/>
        </w:rPr>
        <w:t>49,0</w:t>
      </w:r>
      <w:r w:rsidR="001D59A8" w:rsidRPr="00BD4B00">
        <w:rPr>
          <w:rFonts w:asciiTheme="majorBidi" w:hAnsiTheme="majorBidi" w:cstheme="majorBidi"/>
          <w:lang w:bidi="ar-MA"/>
        </w:rPr>
        <w:t xml:space="preserve"> </w:t>
      </w:r>
      <w:r w:rsidR="001D59A8" w:rsidRPr="00BD4B00">
        <w:rPr>
          <w:rFonts w:asciiTheme="majorBidi" w:hAnsiTheme="majorBidi" w:cstheme="majorBidi"/>
          <w:rtl/>
          <w:lang w:bidi="ar-MA"/>
        </w:rPr>
        <w:t>نقطة</w:t>
      </w:r>
      <w:r w:rsidR="003549B7" w:rsidRPr="00BD4B00">
        <w:rPr>
          <w:rFonts w:asciiTheme="majorBidi" w:hAnsiTheme="majorBidi" w:cstheme="majorBidi"/>
          <w:rtl/>
          <w:lang w:bidi="ar-MA"/>
        </w:rPr>
        <w:t xml:space="preserve"> </w:t>
      </w:r>
      <w:r w:rsidR="005C100E" w:rsidRPr="00BD4B00">
        <w:rPr>
          <w:rFonts w:asciiTheme="majorBidi" w:hAnsiTheme="majorBidi" w:cstheme="majorBidi"/>
          <w:rtl/>
          <w:lang w:bidi="ar-MA"/>
        </w:rPr>
        <w:t>خلال نفس الفصل من السنة الماضية</w:t>
      </w:r>
      <w:r w:rsidRPr="00BD4B00">
        <w:rPr>
          <w:rFonts w:asciiTheme="majorBidi" w:hAnsiTheme="majorBidi" w:cstheme="majorBidi"/>
          <w:rtl/>
          <w:lang w:bidi="ar-MA"/>
        </w:rPr>
        <w:t>.</w:t>
      </w:r>
    </w:p>
    <w:p w:rsidR="007E0E91" w:rsidRDefault="0047396E" w:rsidP="00BD4B00">
      <w:pPr>
        <w:bidi/>
        <w:spacing w:before="240" w:line="360" w:lineRule="auto"/>
        <w:jc w:val="both"/>
        <w:rPr>
          <w:rFonts w:asciiTheme="majorBidi" w:hAnsiTheme="majorBidi" w:cstheme="majorBidi"/>
          <w:rtl/>
          <w:lang w:bidi="ar-MA"/>
        </w:rPr>
      </w:pPr>
      <w:r w:rsidRPr="00BD4B00">
        <w:rPr>
          <w:rFonts w:asciiTheme="majorBidi" w:hAnsiTheme="majorBidi" w:cstheme="majorBidi"/>
          <w:rtl/>
          <w:lang w:bidi="ar-MA"/>
        </w:rPr>
        <w:t xml:space="preserve">أما بخصوص تصور الأسر لتطور وضعيتها المالية خلال 12 شهرا المقبلة، فتتوقع </w:t>
      </w:r>
      <w:r w:rsidR="00BE7894" w:rsidRPr="00BD4B00">
        <w:rPr>
          <w:rFonts w:asciiTheme="majorBidi" w:hAnsiTheme="majorBidi" w:cstheme="majorBidi"/>
          <w:lang w:bidi="ar-MA"/>
        </w:rPr>
        <w:t>17,5</w:t>
      </w:r>
      <w:r w:rsidRPr="00BD4B00">
        <w:rPr>
          <w:rFonts w:asciiTheme="majorBidi" w:hAnsiTheme="majorBidi" w:cstheme="majorBidi"/>
          <w:rtl/>
          <w:lang w:bidi="ar-MA"/>
        </w:rPr>
        <w:t xml:space="preserve"> </w:t>
      </w:r>
      <w:r w:rsidRPr="00BD4B00">
        <w:rPr>
          <w:rFonts w:asciiTheme="majorBidi" w:hAnsiTheme="majorBidi" w:cstheme="majorBidi"/>
          <w:lang w:bidi="ar-MA"/>
        </w:rPr>
        <w:t>%</w:t>
      </w:r>
      <w:r w:rsidRPr="00BD4B00">
        <w:rPr>
          <w:rFonts w:asciiTheme="majorBidi" w:hAnsiTheme="majorBidi" w:cstheme="majorBidi"/>
          <w:rtl/>
          <w:lang w:bidi="ar-MA"/>
        </w:rPr>
        <w:t xml:space="preserve"> </w:t>
      </w:r>
      <w:r w:rsidR="009C4C53" w:rsidRPr="00BD4B00">
        <w:rPr>
          <w:rFonts w:asciiTheme="majorBidi" w:hAnsiTheme="majorBidi" w:cstheme="majorBidi"/>
          <w:rtl/>
          <w:lang w:bidi="ar-MA"/>
        </w:rPr>
        <w:t xml:space="preserve">من الأسر مقابل </w:t>
      </w:r>
      <w:r w:rsidR="00BE7894" w:rsidRPr="00BD4B00">
        <w:rPr>
          <w:rFonts w:asciiTheme="majorBidi" w:hAnsiTheme="majorBidi" w:cstheme="majorBidi"/>
          <w:lang w:bidi="ar-MA"/>
        </w:rPr>
        <w:t>25,2</w:t>
      </w:r>
      <w:r w:rsidR="009C4C53" w:rsidRPr="00BD4B00">
        <w:rPr>
          <w:rFonts w:asciiTheme="majorBidi" w:hAnsiTheme="majorBidi" w:cstheme="majorBidi"/>
          <w:rtl/>
          <w:lang w:bidi="ar-MA"/>
        </w:rPr>
        <w:t xml:space="preserve"> </w:t>
      </w:r>
      <w:r w:rsidR="009C4C53" w:rsidRPr="00BD4B00">
        <w:rPr>
          <w:rFonts w:asciiTheme="majorBidi" w:hAnsiTheme="majorBidi" w:cstheme="majorBidi"/>
          <w:lang w:bidi="ar-MA"/>
        </w:rPr>
        <w:t>%</w:t>
      </w:r>
      <w:r w:rsidR="009C4C53" w:rsidRPr="00BD4B00">
        <w:rPr>
          <w:rFonts w:asciiTheme="majorBidi" w:hAnsiTheme="majorBidi" w:cstheme="majorBidi"/>
          <w:rtl/>
          <w:lang w:bidi="ar-MA"/>
        </w:rPr>
        <w:t xml:space="preserve"> </w:t>
      </w:r>
      <w:r w:rsidRPr="00BD4B00">
        <w:rPr>
          <w:rFonts w:asciiTheme="majorBidi" w:hAnsiTheme="majorBidi" w:cstheme="majorBidi"/>
          <w:rtl/>
          <w:lang w:bidi="ar-MA"/>
        </w:rPr>
        <w:t xml:space="preserve">تحسنها. وبذلك </w:t>
      </w:r>
      <w:r w:rsidR="00050C91" w:rsidRPr="00BD4B00">
        <w:rPr>
          <w:rFonts w:asciiTheme="majorBidi" w:hAnsiTheme="majorBidi" w:cstheme="majorBidi"/>
          <w:rtl/>
          <w:lang w:bidi="ar-MA"/>
        </w:rPr>
        <w:t>بلغ</w:t>
      </w:r>
      <w:r w:rsidR="007708BE" w:rsidRPr="00BD4B00">
        <w:rPr>
          <w:rFonts w:asciiTheme="majorBidi" w:hAnsiTheme="majorBidi" w:cstheme="majorBidi"/>
          <w:rtl/>
          <w:lang w:bidi="ar-MA"/>
        </w:rPr>
        <w:t xml:space="preserve"> </w:t>
      </w:r>
      <w:r w:rsidRPr="00BD4B00">
        <w:rPr>
          <w:rFonts w:asciiTheme="majorBidi" w:hAnsiTheme="majorBidi" w:cstheme="majorBidi"/>
          <w:rtl/>
          <w:lang w:bidi="ar-MA"/>
        </w:rPr>
        <w:t>رصيد هذا المؤشر</w:t>
      </w:r>
      <w:r w:rsidR="00BE7894" w:rsidRPr="00BD4B00">
        <w:rPr>
          <w:rFonts w:asciiTheme="majorBidi" w:hAnsiTheme="majorBidi" w:cstheme="majorBidi"/>
          <w:lang w:bidi="ar-MA"/>
        </w:rPr>
        <w:t xml:space="preserve"> </w:t>
      </w:r>
      <w:r w:rsidR="00BE7894" w:rsidRPr="00BD4B00">
        <w:rPr>
          <w:rFonts w:asciiTheme="majorBidi" w:hAnsiTheme="majorBidi" w:cstheme="majorBidi"/>
          <w:rtl/>
          <w:lang w:bidi="ar-MA"/>
        </w:rPr>
        <w:t>ناقص</w:t>
      </w:r>
      <w:r w:rsidR="00A71491" w:rsidRPr="00BD4B00">
        <w:rPr>
          <w:rFonts w:asciiTheme="majorBidi" w:hAnsiTheme="majorBidi" w:cstheme="majorBidi"/>
          <w:rtl/>
          <w:lang w:bidi="ar-MA"/>
        </w:rPr>
        <w:t xml:space="preserve"> </w:t>
      </w:r>
      <w:r w:rsidR="00A71491" w:rsidRPr="00BD4B00">
        <w:rPr>
          <w:rFonts w:asciiTheme="majorBidi" w:hAnsiTheme="majorBidi" w:cstheme="majorBidi"/>
          <w:lang w:bidi="ar-MA"/>
        </w:rPr>
        <w:t>7,7</w:t>
      </w:r>
      <w:r w:rsidR="00A71491" w:rsidRPr="00BD4B00">
        <w:rPr>
          <w:rFonts w:asciiTheme="majorBidi" w:hAnsiTheme="majorBidi" w:cstheme="majorBidi"/>
          <w:rtl/>
          <w:lang w:bidi="ar-MA"/>
        </w:rPr>
        <w:t xml:space="preserve"> نقاط</w:t>
      </w:r>
      <w:r w:rsidR="0067383A" w:rsidRPr="00BD4B00">
        <w:rPr>
          <w:rFonts w:asciiTheme="majorBidi" w:hAnsiTheme="majorBidi" w:cstheme="majorBidi"/>
          <w:lang w:bidi="ar-MA"/>
        </w:rPr>
        <w:t xml:space="preserve"> </w:t>
      </w:r>
      <w:r w:rsidR="007E0E91" w:rsidRPr="00BD4B00">
        <w:rPr>
          <w:rFonts w:asciiTheme="majorBidi" w:hAnsiTheme="majorBidi" w:cstheme="majorBidi"/>
          <w:lang w:bidi="ar-MA"/>
        </w:rPr>
        <w:t xml:space="preserve"> </w:t>
      </w:r>
      <w:r w:rsidR="007E0E91" w:rsidRPr="00BD4B00">
        <w:rPr>
          <w:rFonts w:asciiTheme="majorBidi" w:hAnsiTheme="majorBidi" w:cstheme="majorBidi"/>
          <w:rtl/>
          <w:lang w:bidi="ar-MA"/>
        </w:rPr>
        <w:t>مقابل ناقص</w:t>
      </w:r>
      <w:r w:rsidR="007E0E91" w:rsidRPr="00BD4B00">
        <w:rPr>
          <w:rFonts w:asciiTheme="majorBidi" w:hAnsiTheme="majorBidi" w:cstheme="majorBidi"/>
          <w:lang w:bidi="ar-MA"/>
        </w:rPr>
        <w:t xml:space="preserve"> 5,9 </w:t>
      </w:r>
      <w:r w:rsidR="007E0E91" w:rsidRPr="00BD4B00">
        <w:rPr>
          <w:rFonts w:asciiTheme="majorBidi" w:hAnsiTheme="majorBidi" w:cstheme="majorBidi"/>
          <w:rtl/>
          <w:lang w:bidi="ar-MA"/>
        </w:rPr>
        <w:t>نق</w:t>
      </w:r>
      <w:r w:rsidR="00A71491" w:rsidRPr="00BD4B00">
        <w:rPr>
          <w:rFonts w:asciiTheme="majorBidi" w:hAnsiTheme="majorBidi" w:cstheme="majorBidi"/>
          <w:rtl/>
          <w:lang w:bidi="ar-MA"/>
        </w:rPr>
        <w:t>ا</w:t>
      </w:r>
      <w:r w:rsidR="007E0E91" w:rsidRPr="00BD4B00">
        <w:rPr>
          <w:rFonts w:asciiTheme="majorBidi" w:hAnsiTheme="majorBidi" w:cstheme="majorBidi"/>
          <w:rtl/>
          <w:lang w:bidi="ar-MA"/>
        </w:rPr>
        <w:t>ط خلال الفصل السابق و</w:t>
      </w:r>
      <w:r w:rsidR="007E0E91" w:rsidRPr="00BD4B00">
        <w:rPr>
          <w:rFonts w:asciiTheme="majorBidi" w:hAnsiTheme="majorBidi" w:cstheme="majorBidi"/>
          <w:lang w:bidi="ar-MA"/>
        </w:rPr>
        <w:t xml:space="preserve"> </w:t>
      </w:r>
      <w:r w:rsidR="00A30C53" w:rsidRPr="00BD4B00">
        <w:rPr>
          <w:rFonts w:asciiTheme="majorBidi" w:hAnsiTheme="majorBidi" w:cstheme="majorBidi"/>
          <w:rtl/>
          <w:lang w:bidi="ar-MA"/>
        </w:rPr>
        <w:t>15,1</w:t>
      </w:r>
      <w:r w:rsidR="007E0E91" w:rsidRPr="00BD4B00">
        <w:rPr>
          <w:rFonts w:asciiTheme="majorBidi" w:hAnsiTheme="majorBidi" w:cstheme="majorBidi"/>
          <w:lang w:bidi="ar-MA"/>
        </w:rPr>
        <w:t xml:space="preserve"> </w:t>
      </w:r>
      <w:r w:rsidR="007E0E91" w:rsidRPr="00BD4B00">
        <w:rPr>
          <w:rFonts w:asciiTheme="majorBidi" w:hAnsiTheme="majorBidi" w:cstheme="majorBidi"/>
          <w:rtl/>
          <w:lang w:bidi="ar-MA"/>
        </w:rPr>
        <w:t>نقطة خلال نفس الفصل من السنة الماضية.</w:t>
      </w:r>
    </w:p>
    <w:p w:rsidR="00BD4B00" w:rsidRDefault="00BD4B00" w:rsidP="00BD4B00">
      <w:pPr>
        <w:bidi/>
        <w:spacing w:before="240" w:line="360" w:lineRule="auto"/>
        <w:jc w:val="both"/>
        <w:rPr>
          <w:rFonts w:asciiTheme="majorBidi" w:hAnsiTheme="majorBidi" w:cstheme="majorBidi"/>
          <w:rtl/>
          <w:lang w:bidi="ar-MA"/>
        </w:rPr>
      </w:pPr>
    </w:p>
    <w:p w:rsidR="00DC319F" w:rsidRPr="00BD4B00" w:rsidRDefault="00B5783F" w:rsidP="00BD4B00">
      <w:pPr>
        <w:bidi/>
        <w:spacing w:before="240" w:line="360" w:lineRule="auto"/>
        <w:rPr>
          <w:rFonts w:asciiTheme="majorBidi" w:hAnsiTheme="majorBidi" w:cstheme="majorBidi"/>
          <w:noProof/>
        </w:rPr>
      </w:pPr>
      <w:r w:rsidRPr="00BD4B00">
        <w:rPr>
          <w:rFonts w:asciiTheme="majorBidi" w:hAnsiTheme="majorBidi" w:cstheme="majorBidi"/>
          <w:b/>
          <w:bCs/>
          <w:sz w:val="26"/>
          <w:szCs w:val="26"/>
          <w:rtl/>
          <w:lang w:bidi="ar-DZ"/>
        </w:rPr>
        <w:lastRenderedPageBreak/>
        <w:t xml:space="preserve">مبيان 5: </w:t>
      </w:r>
      <w:r w:rsidRPr="00BD4B00">
        <w:rPr>
          <w:rFonts w:asciiTheme="majorBidi" w:hAnsiTheme="majorBidi" w:cstheme="majorBidi"/>
          <w:b/>
          <w:bCs/>
          <w:sz w:val="26"/>
          <w:szCs w:val="26"/>
          <w:rtl/>
          <w:lang w:bidi="ar-MA"/>
        </w:rPr>
        <w:t>تصور الأسر حول وضعيتهم المالية (أرصدة الآراء)</w:t>
      </w:r>
      <w:r w:rsidRPr="00BD4B00">
        <w:rPr>
          <w:rFonts w:asciiTheme="majorBidi" w:hAnsiTheme="majorBidi" w:cstheme="majorBidi"/>
          <w:b/>
          <w:bCs/>
          <w:sz w:val="26"/>
          <w:szCs w:val="26"/>
          <w:lang w:bidi="ar-DZ"/>
        </w:rPr>
        <w:t xml:space="preserve"> </w:t>
      </w:r>
      <w:r w:rsidR="00A52724" w:rsidRPr="00BD4B00">
        <w:rPr>
          <w:rFonts w:asciiTheme="majorBidi" w:hAnsiTheme="majorBidi" w:cstheme="majorBidi"/>
          <w:noProof/>
        </w:rPr>
        <w:drawing>
          <wp:inline distT="0" distB="0" distL="0" distR="0">
            <wp:extent cx="6008725" cy="3716977"/>
            <wp:effectExtent l="19050" t="0" r="11075" b="0"/>
            <wp:docPr id="11" name="Graphique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B5783F" w:rsidRPr="00BD4B00" w:rsidRDefault="00B5783F" w:rsidP="00BD4B00">
      <w:pPr>
        <w:shd w:val="clear" w:color="auto" w:fill="FFFFFF" w:themeFill="background1"/>
        <w:bidi/>
        <w:spacing w:line="360" w:lineRule="auto"/>
        <w:jc w:val="both"/>
        <w:rPr>
          <w:rFonts w:asciiTheme="majorBidi" w:hAnsiTheme="majorBidi" w:cstheme="majorBidi"/>
          <w:b/>
          <w:bCs/>
          <w:color w:val="202124"/>
          <w:sz w:val="22"/>
          <w:szCs w:val="22"/>
          <w:rtl/>
        </w:rPr>
      </w:pPr>
      <w:r w:rsidRPr="00BD4B00">
        <w:rPr>
          <w:rFonts w:asciiTheme="majorBidi" w:hAnsiTheme="majorBidi" w:cstheme="majorBidi"/>
          <w:b/>
          <w:bCs/>
          <w:color w:val="202124"/>
          <w:sz w:val="22"/>
          <w:szCs w:val="22"/>
          <w:rtl/>
        </w:rPr>
        <w:t>المصدر</w:t>
      </w:r>
      <w:r w:rsidRPr="00BD4B00">
        <w:rPr>
          <w:rFonts w:asciiTheme="majorBidi" w:hAnsiTheme="majorBidi" w:cstheme="majorBidi"/>
          <w:b/>
          <w:bCs/>
          <w:color w:val="202124"/>
          <w:sz w:val="22"/>
          <w:szCs w:val="22"/>
        </w:rPr>
        <w:t xml:space="preserve">: </w:t>
      </w:r>
      <w:r w:rsidRPr="00BD4B00">
        <w:rPr>
          <w:rFonts w:asciiTheme="majorBidi" w:hAnsiTheme="majorBidi" w:cstheme="majorBidi"/>
          <w:b/>
          <w:bCs/>
          <w:color w:val="202124"/>
          <w:sz w:val="22"/>
          <w:szCs w:val="22"/>
          <w:rtl/>
        </w:rPr>
        <w:t>المندوبية السامية للتخطيط، البحث الوطني الدائم حول الظرفية لدى الأسر</w:t>
      </w:r>
    </w:p>
    <w:p w:rsidR="00A30C53" w:rsidRPr="00BD4B00" w:rsidRDefault="00A30C53" w:rsidP="00BD4B00">
      <w:pPr>
        <w:shd w:val="clear" w:color="auto" w:fill="FFFFFF" w:themeFill="background1"/>
        <w:bidi/>
        <w:spacing w:line="360" w:lineRule="auto"/>
        <w:jc w:val="both"/>
        <w:rPr>
          <w:rFonts w:asciiTheme="majorBidi" w:hAnsiTheme="majorBidi" w:cstheme="majorBidi"/>
          <w:b/>
          <w:bCs/>
          <w:sz w:val="22"/>
          <w:szCs w:val="22"/>
        </w:rPr>
      </w:pPr>
    </w:p>
    <w:p w:rsidR="0084578E" w:rsidRPr="00BD4B00" w:rsidRDefault="0047396E" w:rsidP="00BD4B00">
      <w:pPr>
        <w:pStyle w:val="Paragraphedeliste"/>
        <w:widowControl/>
        <w:numPr>
          <w:ilvl w:val="0"/>
          <w:numId w:val="2"/>
        </w:numPr>
        <w:autoSpaceDE/>
        <w:autoSpaceDN/>
        <w:bidi/>
        <w:adjustRightInd/>
        <w:spacing w:line="360" w:lineRule="auto"/>
        <w:jc w:val="both"/>
        <w:rPr>
          <w:rFonts w:asciiTheme="majorBidi" w:hAnsiTheme="majorBidi" w:cstheme="majorBidi"/>
          <w:b/>
          <w:bCs/>
          <w:sz w:val="30"/>
          <w:szCs w:val="30"/>
          <w:rtl/>
          <w:lang w:bidi="ar-MA"/>
        </w:rPr>
      </w:pPr>
      <w:r w:rsidRPr="00BD4B00">
        <w:rPr>
          <w:rFonts w:asciiTheme="majorBidi" w:hAnsiTheme="majorBidi" w:cstheme="majorBidi"/>
          <w:b/>
          <w:bCs/>
          <w:sz w:val="30"/>
          <w:szCs w:val="30"/>
          <w:rtl/>
          <w:lang w:bidi="ar-MA"/>
        </w:rPr>
        <w:t>تطور مؤشرات فصلية أخرى لآراء الأسر حول الظرفية</w:t>
      </w:r>
    </w:p>
    <w:p w:rsidR="00A30C53" w:rsidRPr="00BD4B00" w:rsidRDefault="0047396E" w:rsidP="00BD4B00">
      <w:pPr>
        <w:widowControl/>
        <w:autoSpaceDE/>
        <w:autoSpaceDN/>
        <w:bidi/>
        <w:adjustRightInd/>
        <w:spacing w:after="200" w:line="360" w:lineRule="auto"/>
        <w:ind w:left="142"/>
        <w:jc w:val="both"/>
        <w:rPr>
          <w:rFonts w:asciiTheme="majorBidi" w:hAnsiTheme="majorBidi" w:cstheme="majorBidi"/>
          <w:rtl/>
          <w:lang w:bidi="ar-MA"/>
        </w:rPr>
      </w:pPr>
      <w:r w:rsidRPr="00BD4B00">
        <w:rPr>
          <w:rFonts w:asciiTheme="majorBidi" w:hAnsiTheme="majorBidi" w:cstheme="majorBidi"/>
          <w:rtl/>
          <w:lang w:bidi="ar-MA"/>
        </w:rPr>
        <w:t xml:space="preserve">إضافة إلى المؤشرات السابقة، يوفر هذا البحث معطيات فصلية عن تصورات الأسر بخصوص جوانب أخرى لظروف معيشتها، منها القدرة على </w:t>
      </w:r>
      <w:r w:rsidR="007923EA" w:rsidRPr="00BD4B00">
        <w:rPr>
          <w:rFonts w:asciiTheme="majorBidi" w:hAnsiTheme="majorBidi" w:cstheme="majorBidi"/>
          <w:rtl/>
          <w:lang w:bidi="ar-MA"/>
        </w:rPr>
        <w:t>الادخار</w:t>
      </w:r>
      <w:r w:rsidRPr="00BD4B00">
        <w:rPr>
          <w:rFonts w:asciiTheme="majorBidi" w:hAnsiTheme="majorBidi" w:cstheme="majorBidi"/>
          <w:rtl/>
          <w:lang w:bidi="ar-MA"/>
        </w:rPr>
        <w:t xml:space="preserve"> وتطور أثمنة المواد الغذائية.</w:t>
      </w:r>
    </w:p>
    <w:p w:rsidR="00A30C53" w:rsidRPr="00BD4B00" w:rsidRDefault="007022D8" w:rsidP="00BD4B00">
      <w:pPr>
        <w:widowControl/>
        <w:numPr>
          <w:ilvl w:val="1"/>
          <w:numId w:val="12"/>
        </w:numPr>
        <w:autoSpaceDE/>
        <w:autoSpaceDN/>
        <w:bidi/>
        <w:adjustRightInd/>
        <w:spacing w:after="200" w:line="360" w:lineRule="auto"/>
        <w:ind w:left="502" w:hanging="283"/>
        <w:contextualSpacing/>
        <w:jc w:val="both"/>
        <w:rPr>
          <w:rFonts w:asciiTheme="majorBidi" w:hAnsiTheme="majorBidi" w:cstheme="majorBidi"/>
          <w:lang w:bidi="ar-MA"/>
        </w:rPr>
      </w:pPr>
      <w:r w:rsidRPr="00BD4B00">
        <w:rPr>
          <w:rFonts w:asciiTheme="majorBidi" w:hAnsiTheme="majorBidi" w:cstheme="majorBidi"/>
          <w:b/>
          <w:bCs/>
          <w:sz w:val="30"/>
          <w:szCs w:val="30"/>
          <w:rtl/>
          <w:lang w:bidi="ar-MA"/>
        </w:rPr>
        <w:t xml:space="preserve">قدرة الأسر على الادخار: </w:t>
      </w:r>
      <w:r w:rsidR="004C3014" w:rsidRPr="00BD4B00">
        <w:rPr>
          <w:rFonts w:asciiTheme="majorBidi" w:hAnsiTheme="majorBidi" w:cstheme="majorBidi"/>
          <w:b/>
          <w:bCs/>
          <w:sz w:val="30"/>
          <w:szCs w:val="30"/>
          <w:rtl/>
          <w:lang w:bidi="ar-MA"/>
        </w:rPr>
        <w:t xml:space="preserve">تصورات </w:t>
      </w:r>
      <w:r w:rsidRPr="00BD4B00">
        <w:rPr>
          <w:rFonts w:asciiTheme="majorBidi" w:hAnsiTheme="majorBidi" w:cstheme="majorBidi"/>
          <w:b/>
          <w:bCs/>
          <w:sz w:val="30"/>
          <w:szCs w:val="30"/>
          <w:rtl/>
          <w:lang w:bidi="ar-MA"/>
        </w:rPr>
        <w:t>دائما م</w:t>
      </w:r>
      <w:r w:rsidR="00605BAD" w:rsidRPr="00BD4B00">
        <w:rPr>
          <w:rFonts w:asciiTheme="majorBidi" w:hAnsiTheme="majorBidi" w:cstheme="majorBidi"/>
          <w:b/>
          <w:bCs/>
          <w:sz w:val="30"/>
          <w:szCs w:val="30"/>
          <w:rtl/>
          <w:lang w:bidi="ar-MA"/>
        </w:rPr>
        <w:t>تشا</w:t>
      </w:r>
      <w:r w:rsidRPr="00BD4B00">
        <w:rPr>
          <w:rFonts w:asciiTheme="majorBidi" w:hAnsiTheme="majorBidi" w:cstheme="majorBidi"/>
          <w:b/>
          <w:bCs/>
          <w:sz w:val="30"/>
          <w:szCs w:val="30"/>
          <w:rtl/>
          <w:lang w:bidi="ar-MA"/>
        </w:rPr>
        <w:t>ئمة</w:t>
      </w:r>
    </w:p>
    <w:p w:rsidR="000E68FD" w:rsidRDefault="00A11C67" w:rsidP="00BD4B00">
      <w:pPr>
        <w:widowControl/>
        <w:autoSpaceDE/>
        <w:autoSpaceDN/>
        <w:bidi/>
        <w:adjustRightInd/>
        <w:spacing w:after="200" w:line="360" w:lineRule="auto"/>
        <w:ind w:left="502"/>
        <w:contextualSpacing/>
        <w:jc w:val="both"/>
        <w:rPr>
          <w:rFonts w:asciiTheme="majorBidi" w:hAnsiTheme="majorBidi" w:cstheme="majorBidi"/>
          <w:rtl/>
          <w:lang w:bidi="ar-MA"/>
        </w:rPr>
      </w:pPr>
      <w:r w:rsidRPr="00BD4B00">
        <w:rPr>
          <w:rFonts w:asciiTheme="majorBidi" w:hAnsiTheme="majorBidi" w:cstheme="majorBidi"/>
          <w:rtl/>
          <w:lang w:bidi="ar-MA"/>
        </w:rPr>
        <w:t xml:space="preserve">خلال </w:t>
      </w:r>
      <w:r w:rsidR="00C866CD" w:rsidRPr="00BD4B00">
        <w:rPr>
          <w:rFonts w:asciiTheme="majorBidi" w:hAnsiTheme="majorBidi" w:cstheme="majorBidi"/>
          <w:rtl/>
          <w:lang w:bidi="ar-MA"/>
        </w:rPr>
        <w:t xml:space="preserve">الفصل الرابع </w:t>
      </w:r>
      <w:r w:rsidRPr="00BD4B00">
        <w:rPr>
          <w:rFonts w:asciiTheme="majorBidi" w:hAnsiTheme="majorBidi" w:cstheme="majorBidi"/>
          <w:rtl/>
          <w:lang w:bidi="ar-MA"/>
        </w:rPr>
        <w:t xml:space="preserve">من سنة </w:t>
      </w:r>
      <w:r w:rsidR="00C05B4E" w:rsidRPr="00BD4B00">
        <w:rPr>
          <w:rFonts w:asciiTheme="majorBidi" w:hAnsiTheme="majorBidi" w:cstheme="majorBidi"/>
          <w:rtl/>
          <w:lang w:bidi="ar-MA"/>
        </w:rPr>
        <w:t>2022</w:t>
      </w:r>
      <w:r w:rsidR="0047396E" w:rsidRPr="00BD4B00">
        <w:rPr>
          <w:rFonts w:asciiTheme="majorBidi" w:hAnsiTheme="majorBidi" w:cstheme="majorBidi"/>
          <w:rtl/>
          <w:lang w:bidi="ar-MA"/>
        </w:rPr>
        <w:t xml:space="preserve">، صرحت </w:t>
      </w:r>
      <w:r w:rsidR="0067383A" w:rsidRPr="00BD4B00">
        <w:rPr>
          <w:rFonts w:asciiTheme="majorBidi" w:hAnsiTheme="majorBidi" w:cstheme="majorBidi"/>
          <w:lang w:bidi="ar-MA"/>
        </w:rPr>
        <w:t>%</w:t>
      </w:r>
      <w:r w:rsidR="00A30C53" w:rsidRPr="00BD4B00">
        <w:rPr>
          <w:rFonts w:asciiTheme="majorBidi" w:hAnsiTheme="majorBidi" w:cstheme="majorBidi"/>
          <w:rtl/>
          <w:lang w:bidi="ar-MA"/>
        </w:rPr>
        <w:t>11,1</w:t>
      </w:r>
      <w:r w:rsidR="0067383A" w:rsidRPr="00BD4B00">
        <w:rPr>
          <w:rFonts w:asciiTheme="majorBidi" w:hAnsiTheme="majorBidi" w:cstheme="majorBidi"/>
          <w:lang w:bidi="ar-MA"/>
        </w:rPr>
        <w:t xml:space="preserve"> </w:t>
      </w:r>
      <w:r w:rsidR="004C3014" w:rsidRPr="00BD4B00">
        <w:rPr>
          <w:rFonts w:asciiTheme="majorBidi" w:hAnsiTheme="majorBidi" w:cstheme="majorBidi"/>
          <w:rtl/>
          <w:lang w:bidi="ar-MA"/>
        </w:rPr>
        <w:t xml:space="preserve"> </w:t>
      </w:r>
      <w:r w:rsidR="0047396E" w:rsidRPr="00BD4B00">
        <w:rPr>
          <w:rFonts w:asciiTheme="majorBidi" w:hAnsiTheme="majorBidi" w:cstheme="majorBidi"/>
          <w:rtl/>
          <w:lang w:bidi="ar-MA"/>
        </w:rPr>
        <w:t>مقابل</w:t>
      </w:r>
      <w:r w:rsidR="00A30C53" w:rsidRPr="00BD4B00">
        <w:rPr>
          <w:rFonts w:asciiTheme="majorBidi" w:hAnsiTheme="majorBidi" w:cstheme="majorBidi"/>
          <w:rtl/>
          <w:lang w:bidi="ar-MA"/>
        </w:rPr>
        <w:t xml:space="preserve"> </w:t>
      </w:r>
      <w:r w:rsidR="0067383A" w:rsidRPr="00BD4B00">
        <w:rPr>
          <w:rFonts w:asciiTheme="majorBidi" w:hAnsiTheme="majorBidi" w:cstheme="majorBidi"/>
          <w:lang w:bidi="ar-MA"/>
        </w:rPr>
        <w:t>88,9</w:t>
      </w:r>
      <w:r w:rsidR="00412F8A" w:rsidRPr="00BD4B00">
        <w:rPr>
          <w:rFonts w:asciiTheme="majorBidi" w:hAnsiTheme="majorBidi" w:cstheme="majorBidi"/>
          <w:rtl/>
          <w:lang w:bidi="ar-MA"/>
        </w:rPr>
        <w:t xml:space="preserve"> </w:t>
      </w:r>
      <w:r w:rsidR="0047396E" w:rsidRPr="00BD4B00">
        <w:rPr>
          <w:rFonts w:asciiTheme="majorBidi" w:hAnsiTheme="majorBidi" w:cstheme="majorBidi"/>
          <w:lang w:bidi="ar-MA"/>
        </w:rPr>
        <w:t>%</w:t>
      </w:r>
      <w:r w:rsidR="0047396E" w:rsidRPr="00BD4B00">
        <w:rPr>
          <w:rFonts w:asciiTheme="majorBidi" w:hAnsiTheme="majorBidi" w:cstheme="majorBidi"/>
          <w:rtl/>
          <w:lang w:bidi="ar-MA"/>
        </w:rPr>
        <w:t xml:space="preserve"> من الأسر بقدرتها على </w:t>
      </w:r>
      <w:r w:rsidR="004C7F37" w:rsidRPr="00BD4B00">
        <w:rPr>
          <w:rFonts w:asciiTheme="majorBidi" w:hAnsiTheme="majorBidi" w:cstheme="majorBidi"/>
          <w:rtl/>
          <w:lang w:bidi="ar-MA"/>
        </w:rPr>
        <w:t>الادخار</w:t>
      </w:r>
      <w:r w:rsidR="0047396E" w:rsidRPr="00BD4B00">
        <w:rPr>
          <w:rFonts w:asciiTheme="majorBidi" w:hAnsiTheme="majorBidi" w:cstheme="majorBidi"/>
          <w:rtl/>
          <w:lang w:bidi="ar-MA"/>
        </w:rPr>
        <w:t xml:space="preserve"> خلال 12 شهرا المقبلة، </w:t>
      </w:r>
      <w:r w:rsidR="00611F15" w:rsidRPr="00BD4B00">
        <w:rPr>
          <w:rFonts w:asciiTheme="majorBidi" w:hAnsiTheme="majorBidi" w:cstheme="majorBidi"/>
          <w:rtl/>
          <w:lang w:bidi="ar-MA"/>
        </w:rPr>
        <w:t xml:space="preserve">وهكذا استقر رصيد هذا المؤشر في مستواه السلبي مسجلا ناقص </w:t>
      </w:r>
      <w:r w:rsidR="00A30C53" w:rsidRPr="00BD4B00">
        <w:rPr>
          <w:rFonts w:asciiTheme="majorBidi" w:hAnsiTheme="majorBidi" w:cstheme="majorBidi"/>
          <w:rtl/>
          <w:lang w:bidi="ar-MA"/>
        </w:rPr>
        <w:t>77,8</w:t>
      </w:r>
      <w:r w:rsidR="008D5F0A" w:rsidRPr="00BD4B00">
        <w:rPr>
          <w:rFonts w:asciiTheme="majorBidi" w:hAnsiTheme="majorBidi" w:cstheme="majorBidi"/>
          <w:rtl/>
          <w:lang w:bidi="ar-MA"/>
        </w:rPr>
        <w:t xml:space="preserve"> </w:t>
      </w:r>
      <w:r w:rsidR="00611F15" w:rsidRPr="00BD4B00">
        <w:rPr>
          <w:rFonts w:asciiTheme="majorBidi" w:hAnsiTheme="majorBidi" w:cstheme="majorBidi"/>
          <w:rtl/>
          <w:lang w:bidi="ar-MA"/>
        </w:rPr>
        <w:t xml:space="preserve">نقطة مقابل </w:t>
      </w:r>
      <w:r w:rsidR="00CF15A7" w:rsidRPr="00BD4B00">
        <w:rPr>
          <w:rFonts w:asciiTheme="majorBidi" w:hAnsiTheme="majorBidi" w:cstheme="majorBidi"/>
          <w:rtl/>
          <w:lang w:bidi="ar-MA"/>
        </w:rPr>
        <w:t>ناقص</w:t>
      </w:r>
      <w:r w:rsidR="0067383A" w:rsidRPr="00BD4B00">
        <w:rPr>
          <w:rFonts w:asciiTheme="majorBidi" w:hAnsiTheme="majorBidi" w:cstheme="majorBidi"/>
          <w:lang w:bidi="ar-MA"/>
        </w:rPr>
        <w:t xml:space="preserve"> </w:t>
      </w:r>
      <w:r w:rsidR="00A30C53" w:rsidRPr="00BD4B00">
        <w:rPr>
          <w:rFonts w:asciiTheme="majorBidi" w:hAnsiTheme="majorBidi" w:cstheme="majorBidi"/>
          <w:rtl/>
          <w:lang w:bidi="ar-MA"/>
        </w:rPr>
        <w:t xml:space="preserve">78,0 </w:t>
      </w:r>
      <w:r w:rsidR="00611F15" w:rsidRPr="00BD4B00">
        <w:rPr>
          <w:rFonts w:asciiTheme="majorBidi" w:hAnsiTheme="majorBidi" w:cstheme="majorBidi"/>
          <w:rtl/>
          <w:lang w:bidi="ar-MA"/>
        </w:rPr>
        <w:t xml:space="preserve">نقطة خلال الفصل السابق وناقص </w:t>
      </w:r>
      <w:r w:rsidR="0067383A" w:rsidRPr="00BD4B00">
        <w:rPr>
          <w:rFonts w:asciiTheme="majorBidi" w:hAnsiTheme="majorBidi" w:cstheme="majorBidi"/>
          <w:rtl/>
          <w:lang w:bidi="ar-MA"/>
        </w:rPr>
        <w:t xml:space="preserve">69,5 </w:t>
      </w:r>
      <w:r w:rsidR="008D5F0A" w:rsidRPr="00BD4B00">
        <w:rPr>
          <w:rFonts w:asciiTheme="majorBidi" w:hAnsiTheme="majorBidi" w:cstheme="majorBidi"/>
          <w:rtl/>
          <w:lang w:bidi="ar-MA"/>
        </w:rPr>
        <w:t xml:space="preserve"> </w:t>
      </w:r>
      <w:r w:rsidR="00611F15" w:rsidRPr="00BD4B00">
        <w:rPr>
          <w:rFonts w:asciiTheme="majorBidi" w:hAnsiTheme="majorBidi" w:cstheme="majorBidi"/>
          <w:rtl/>
          <w:lang w:bidi="ar-MA"/>
        </w:rPr>
        <w:t xml:space="preserve">نقطة خلال </w:t>
      </w:r>
      <w:r w:rsidR="009E5E9E" w:rsidRPr="00BD4B00">
        <w:rPr>
          <w:rFonts w:asciiTheme="majorBidi" w:hAnsiTheme="majorBidi" w:cstheme="majorBidi"/>
          <w:rtl/>
          <w:lang w:bidi="ar-DZ"/>
        </w:rPr>
        <w:t>نفس</w:t>
      </w:r>
      <w:r w:rsidR="00611F15" w:rsidRPr="00BD4B00">
        <w:rPr>
          <w:rFonts w:asciiTheme="majorBidi" w:hAnsiTheme="majorBidi" w:cstheme="majorBidi"/>
          <w:rtl/>
          <w:lang w:bidi="ar-MA"/>
        </w:rPr>
        <w:t xml:space="preserve"> </w:t>
      </w:r>
      <w:r w:rsidR="00C866CD" w:rsidRPr="00BD4B00">
        <w:rPr>
          <w:rFonts w:asciiTheme="majorBidi" w:hAnsiTheme="majorBidi" w:cstheme="majorBidi"/>
          <w:rtl/>
          <w:lang w:bidi="ar-MA"/>
        </w:rPr>
        <w:t>الفصل</w:t>
      </w:r>
      <w:r w:rsidR="009E5E9E" w:rsidRPr="00BD4B00">
        <w:rPr>
          <w:rFonts w:asciiTheme="majorBidi" w:hAnsiTheme="majorBidi" w:cstheme="majorBidi"/>
          <w:rtl/>
          <w:lang w:bidi="ar-MA"/>
        </w:rPr>
        <w:t xml:space="preserve"> من السنة الماضية</w:t>
      </w:r>
      <w:r w:rsidR="0047396E" w:rsidRPr="00BD4B00">
        <w:rPr>
          <w:rFonts w:asciiTheme="majorBidi" w:hAnsiTheme="majorBidi" w:cstheme="majorBidi"/>
          <w:rtl/>
          <w:lang w:bidi="ar-MA"/>
        </w:rPr>
        <w:t>.</w:t>
      </w:r>
    </w:p>
    <w:p w:rsidR="00BD4B00" w:rsidRPr="00BD4B00" w:rsidRDefault="00BD4B00" w:rsidP="00BD4B00">
      <w:pPr>
        <w:widowControl/>
        <w:autoSpaceDE/>
        <w:autoSpaceDN/>
        <w:bidi/>
        <w:adjustRightInd/>
        <w:spacing w:after="200" w:line="360" w:lineRule="auto"/>
        <w:ind w:left="502"/>
        <w:contextualSpacing/>
        <w:jc w:val="both"/>
        <w:rPr>
          <w:rFonts w:asciiTheme="majorBidi" w:hAnsiTheme="majorBidi" w:cstheme="majorBidi"/>
          <w:rtl/>
          <w:lang w:bidi="ar-MA"/>
        </w:rPr>
      </w:pPr>
    </w:p>
    <w:p w:rsidR="00A30C53" w:rsidRPr="00BD4B00" w:rsidRDefault="008026A4" w:rsidP="000E5920">
      <w:pPr>
        <w:widowControl/>
        <w:numPr>
          <w:ilvl w:val="1"/>
          <w:numId w:val="12"/>
        </w:numPr>
        <w:autoSpaceDE/>
        <w:autoSpaceDN/>
        <w:bidi/>
        <w:adjustRightInd/>
        <w:spacing w:before="240" w:after="200" w:line="360" w:lineRule="auto"/>
        <w:ind w:left="502" w:hanging="283"/>
        <w:contextualSpacing/>
        <w:jc w:val="both"/>
        <w:rPr>
          <w:rFonts w:asciiTheme="majorBidi" w:hAnsiTheme="majorBidi" w:cstheme="majorBidi"/>
          <w:lang w:bidi="ar-MA"/>
        </w:rPr>
      </w:pPr>
      <w:r w:rsidRPr="00BD4B00">
        <w:rPr>
          <w:rFonts w:asciiTheme="majorBidi" w:hAnsiTheme="majorBidi" w:cstheme="majorBidi"/>
          <w:b/>
          <w:bCs/>
          <w:sz w:val="30"/>
          <w:szCs w:val="30"/>
          <w:rtl/>
          <w:lang w:bidi="ar-MA"/>
        </w:rPr>
        <w:t xml:space="preserve">إحساس </w:t>
      </w:r>
      <w:r w:rsidR="000E5920">
        <w:rPr>
          <w:rFonts w:asciiTheme="majorBidi" w:hAnsiTheme="majorBidi" w:cstheme="majorBidi" w:hint="cs"/>
          <w:b/>
          <w:bCs/>
          <w:sz w:val="30"/>
          <w:szCs w:val="30"/>
          <w:rtl/>
          <w:lang w:bidi="ar-MA"/>
        </w:rPr>
        <w:t xml:space="preserve">مجموع </w:t>
      </w:r>
      <w:r w:rsidRPr="00BD4B00">
        <w:rPr>
          <w:rFonts w:asciiTheme="majorBidi" w:hAnsiTheme="majorBidi" w:cstheme="majorBidi"/>
          <w:b/>
          <w:bCs/>
          <w:sz w:val="30"/>
          <w:szCs w:val="30"/>
          <w:rtl/>
          <w:lang w:bidi="ar-MA"/>
        </w:rPr>
        <w:t xml:space="preserve">الأسر بارتفاع  أثمنة المواد الغذائية </w:t>
      </w:r>
    </w:p>
    <w:p w:rsidR="00BD4B00" w:rsidRPr="00BD4B00" w:rsidRDefault="00BE0366" w:rsidP="00BD4B00">
      <w:pPr>
        <w:widowControl/>
        <w:autoSpaceDE/>
        <w:autoSpaceDN/>
        <w:bidi/>
        <w:adjustRightInd/>
        <w:spacing w:before="240" w:after="200" w:line="360" w:lineRule="auto"/>
        <w:ind w:left="502"/>
        <w:contextualSpacing/>
        <w:jc w:val="both"/>
        <w:rPr>
          <w:rFonts w:asciiTheme="majorBidi" w:hAnsiTheme="majorBidi" w:cstheme="majorBidi"/>
          <w:lang w:bidi="ar-MA"/>
        </w:rPr>
      </w:pPr>
      <w:r w:rsidRPr="00BD4B00">
        <w:rPr>
          <w:rFonts w:asciiTheme="majorBidi" w:hAnsiTheme="majorBidi" w:cstheme="majorBidi"/>
          <w:rtl/>
          <w:lang w:bidi="ar-MA"/>
        </w:rPr>
        <w:t xml:space="preserve">خلال </w:t>
      </w:r>
      <w:r w:rsidR="00C866CD" w:rsidRPr="00BD4B00">
        <w:rPr>
          <w:rFonts w:asciiTheme="majorBidi" w:hAnsiTheme="majorBidi" w:cstheme="majorBidi"/>
          <w:rtl/>
          <w:lang w:bidi="ar-MA"/>
        </w:rPr>
        <w:t xml:space="preserve">الفصل الرابع </w:t>
      </w:r>
      <w:r w:rsidRPr="00BD4B00">
        <w:rPr>
          <w:rFonts w:asciiTheme="majorBidi" w:hAnsiTheme="majorBidi" w:cstheme="majorBidi"/>
          <w:rtl/>
          <w:lang w:bidi="ar-MA"/>
        </w:rPr>
        <w:t xml:space="preserve">من سنة </w:t>
      </w:r>
      <w:r w:rsidR="00C05B4E" w:rsidRPr="00BD4B00">
        <w:rPr>
          <w:rFonts w:asciiTheme="majorBidi" w:hAnsiTheme="majorBidi" w:cstheme="majorBidi"/>
          <w:rtl/>
          <w:lang w:bidi="ar-MA"/>
        </w:rPr>
        <w:t>2022</w:t>
      </w:r>
      <w:r w:rsidR="0047396E" w:rsidRPr="00BD4B00">
        <w:rPr>
          <w:rFonts w:asciiTheme="majorBidi" w:hAnsiTheme="majorBidi" w:cstheme="majorBidi"/>
          <w:rtl/>
          <w:lang w:bidi="ar-MA"/>
        </w:rPr>
        <w:t>، صرحت</w:t>
      </w:r>
      <w:r w:rsidR="008026A4" w:rsidRPr="00BD4B00">
        <w:rPr>
          <w:rFonts w:asciiTheme="majorBidi" w:hAnsiTheme="majorBidi" w:cstheme="majorBidi"/>
          <w:rtl/>
          <w:lang w:bidi="ar-MA"/>
        </w:rPr>
        <w:t xml:space="preserve"> جميع الأسر (</w:t>
      </w:r>
      <w:r w:rsidR="00EA121F" w:rsidRPr="00BD4B00">
        <w:rPr>
          <w:rFonts w:asciiTheme="majorBidi" w:hAnsiTheme="majorBidi" w:cstheme="majorBidi"/>
          <w:lang w:bidi="ar-MA"/>
        </w:rPr>
        <w:t>98,9</w:t>
      </w:r>
      <w:r w:rsidR="00CF15A7" w:rsidRPr="00BD4B00">
        <w:rPr>
          <w:rFonts w:asciiTheme="majorBidi" w:hAnsiTheme="majorBidi" w:cstheme="majorBidi"/>
          <w:rtl/>
          <w:lang w:bidi="ar-MA"/>
        </w:rPr>
        <w:t xml:space="preserve"> </w:t>
      </w:r>
      <w:r w:rsidR="00CF15A7" w:rsidRPr="00BD4B00">
        <w:rPr>
          <w:rFonts w:asciiTheme="majorBidi" w:hAnsiTheme="majorBidi" w:cstheme="majorBidi"/>
          <w:lang w:bidi="ar-MA"/>
        </w:rPr>
        <w:t>%</w:t>
      </w:r>
      <w:r w:rsidR="008026A4" w:rsidRPr="00BD4B00">
        <w:rPr>
          <w:rFonts w:asciiTheme="majorBidi" w:hAnsiTheme="majorBidi" w:cstheme="majorBidi"/>
          <w:rtl/>
          <w:lang w:bidi="ar-MA"/>
        </w:rPr>
        <w:t xml:space="preserve">)  </w:t>
      </w:r>
      <w:r w:rsidR="0047396E" w:rsidRPr="00BD4B00">
        <w:rPr>
          <w:rFonts w:asciiTheme="majorBidi" w:hAnsiTheme="majorBidi" w:cstheme="majorBidi"/>
          <w:rtl/>
          <w:lang w:bidi="ar-MA"/>
        </w:rPr>
        <w:t>بأن أسعار المواد الغذائية قد عرفت ارتفاعا خلال 12 شهرا الأخيرة</w:t>
      </w:r>
      <w:r w:rsidR="008026A4" w:rsidRPr="00BD4B00">
        <w:rPr>
          <w:rFonts w:asciiTheme="majorBidi" w:hAnsiTheme="majorBidi" w:cstheme="majorBidi"/>
          <w:rtl/>
          <w:lang w:bidi="ar-MA"/>
        </w:rPr>
        <w:t xml:space="preserve"> حيث</w:t>
      </w:r>
      <w:r w:rsidR="0047396E" w:rsidRPr="00BD4B00">
        <w:rPr>
          <w:rFonts w:asciiTheme="majorBidi" w:hAnsiTheme="majorBidi" w:cstheme="majorBidi"/>
          <w:rtl/>
          <w:lang w:bidi="ar-MA"/>
        </w:rPr>
        <w:t xml:space="preserve"> استقر رصيد ه</w:t>
      </w:r>
      <w:r w:rsidR="008026A4" w:rsidRPr="00BD4B00">
        <w:rPr>
          <w:rFonts w:asciiTheme="majorBidi" w:hAnsiTheme="majorBidi" w:cstheme="majorBidi"/>
          <w:rtl/>
          <w:lang w:bidi="ar-MA"/>
        </w:rPr>
        <w:t xml:space="preserve">ذا المؤشر في مستوى سلبي بلغ ناقص </w:t>
      </w:r>
      <w:r w:rsidR="00EA121F" w:rsidRPr="00BD4B00">
        <w:rPr>
          <w:rFonts w:asciiTheme="majorBidi" w:hAnsiTheme="majorBidi" w:cstheme="majorBidi"/>
          <w:lang w:bidi="ar-MA"/>
        </w:rPr>
        <w:t xml:space="preserve"> 98,8</w:t>
      </w:r>
      <w:r w:rsidR="0047396E" w:rsidRPr="00BD4B00">
        <w:rPr>
          <w:rFonts w:asciiTheme="majorBidi" w:hAnsiTheme="majorBidi" w:cstheme="majorBidi"/>
          <w:rtl/>
          <w:lang w:bidi="ar-MA"/>
        </w:rPr>
        <w:t xml:space="preserve">نقطة </w:t>
      </w:r>
      <w:r w:rsidR="008D3FAC" w:rsidRPr="00BD4B00">
        <w:rPr>
          <w:rFonts w:asciiTheme="majorBidi" w:hAnsiTheme="majorBidi" w:cstheme="majorBidi"/>
          <w:rtl/>
          <w:lang w:bidi="ar-MA"/>
        </w:rPr>
        <w:t>مقابل</w:t>
      </w:r>
      <w:r w:rsidR="0047396E" w:rsidRPr="00BD4B00">
        <w:rPr>
          <w:rFonts w:asciiTheme="majorBidi" w:hAnsiTheme="majorBidi" w:cstheme="majorBidi"/>
          <w:rtl/>
          <w:lang w:bidi="ar-MA"/>
        </w:rPr>
        <w:t xml:space="preserve"> ناقص </w:t>
      </w:r>
      <w:r w:rsidR="00EA121F" w:rsidRPr="00BD4B00">
        <w:rPr>
          <w:rFonts w:asciiTheme="majorBidi" w:hAnsiTheme="majorBidi" w:cstheme="majorBidi"/>
          <w:lang w:bidi="ar-MA"/>
        </w:rPr>
        <w:t xml:space="preserve"> 99,1</w:t>
      </w:r>
      <w:r w:rsidR="008026A4" w:rsidRPr="00BD4B00">
        <w:rPr>
          <w:rFonts w:asciiTheme="majorBidi" w:hAnsiTheme="majorBidi" w:cstheme="majorBidi"/>
          <w:rtl/>
          <w:lang w:bidi="ar-MA"/>
        </w:rPr>
        <w:t xml:space="preserve"> </w:t>
      </w:r>
      <w:r w:rsidR="0047396E" w:rsidRPr="00BD4B00">
        <w:rPr>
          <w:rFonts w:asciiTheme="majorBidi" w:hAnsiTheme="majorBidi" w:cstheme="majorBidi"/>
          <w:rtl/>
          <w:lang w:bidi="ar-MA"/>
        </w:rPr>
        <w:t>نقطة خلال الفصل السابق وناقص</w:t>
      </w:r>
      <w:r w:rsidR="00EA121F" w:rsidRPr="00BD4B00">
        <w:rPr>
          <w:rFonts w:asciiTheme="majorBidi" w:hAnsiTheme="majorBidi" w:cstheme="majorBidi"/>
          <w:lang w:bidi="ar-MA"/>
        </w:rPr>
        <w:t xml:space="preserve"> </w:t>
      </w:r>
      <w:r w:rsidR="00EA121F" w:rsidRPr="00BD4B00">
        <w:rPr>
          <w:rFonts w:asciiTheme="majorBidi" w:hAnsiTheme="majorBidi" w:cstheme="majorBidi"/>
          <w:rtl/>
          <w:lang w:bidi="ar-MA"/>
        </w:rPr>
        <w:t>95,9</w:t>
      </w:r>
      <w:r w:rsidR="00EA121F" w:rsidRPr="00BD4B00">
        <w:rPr>
          <w:rFonts w:asciiTheme="majorBidi" w:hAnsiTheme="majorBidi" w:cstheme="majorBidi"/>
          <w:lang w:bidi="ar-MA"/>
        </w:rPr>
        <w:t xml:space="preserve"> </w:t>
      </w:r>
      <w:r w:rsidR="008D5F0A" w:rsidRPr="00BD4B00">
        <w:rPr>
          <w:rFonts w:asciiTheme="majorBidi" w:hAnsiTheme="majorBidi" w:cstheme="majorBidi"/>
          <w:rtl/>
          <w:lang w:bidi="ar-MA"/>
        </w:rPr>
        <w:t>ن</w:t>
      </w:r>
      <w:r w:rsidR="0047396E" w:rsidRPr="00BD4B00">
        <w:rPr>
          <w:rFonts w:asciiTheme="majorBidi" w:hAnsiTheme="majorBidi" w:cstheme="majorBidi"/>
          <w:rtl/>
          <w:lang w:bidi="ar-MA"/>
        </w:rPr>
        <w:t xml:space="preserve">قطة خلال نفس الفترة من السنة الماضية. </w:t>
      </w:r>
    </w:p>
    <w:p w:rsidR="004F3CFE" w:rsidRPr="00BD4B00" w:rsidRDefault="0047396E" w:rsidP="00BD4B00">
      <w:pPr>
        <w:pStyle w:val="Paragraphedeliste"/>
        <w:widowControl/>
        <w:autoSpaceDE/>
        <w:autoSpaceDN/>
        <w:bidi/>
        <w:adjustRightInd/>
        <w:spacing w:after="200" w:line="360" w:lineRule="auto"/>
        <w:ind w:left="502"/>
        <w:jc w:val="both"/>
        <w:rPr>
          <w:rFonts w:asciiTheme="majorBidi" w:hAnsiTheme="majorBidi" w:cstheme="majorBidi"/>
          <w:rtl/>
          <w:lang w:bidi="ar-MA"/>
        </w:rPr>
      </w:pPr>
      <w:r w:rsidRPr="00BD4B00">
        <w:rPr>
          <w:rFonts w:asciiTheme="majorBidi" w:hAnsiTheme="majorBidi" w:cstheme="majorBidi"/>
          <w:rtl/>
          <w:lang w:bidi="ar-MA"/>
        </w:rPr>
        <w:t xml:space="preserve">أما بخصوص تطور أسعار المواد الغذائية خلال 12 شهرا المقبلة، فتتوقع </w:t>
      </w:r>
      <w:r w:rsidR="00C34041" w:rsidRPr="00BD4B00">
        <w:rPr>
          <w:rFonts w:asciiTheme="majorBidi" w:hAnsiTheme="majorBidi" w:cstheme="majorBidi"/>
          <w:lang w:bidi="ar-MA"/>
        </w:rPr>
        <w:t>76,8</w:t>
      </w:r>
      <w:r w:rsidRPr="00BD4B00">
        <w:rPr>
          <w:rFonts w:asciiTheme="majorBidi" w:hAnsiTheme="majorBidi" w:cstheme="majorBidi"/>
          <w:rtl/>
          <w:lang w:bidi="ar-MA"/>
        </w:rPr>
        <w:t xml:space="preserve"> </w:t>
      </w:r>
      <w:r w:rsidRPr="00BD4B00">
        <w:rPr>
          <w:rFonts w:asciiTheme="majorBidi" w:hAnsiTheme="majorBidi" w:cstheme="majorBidi"/>
          <w:lang w:bidi="ar-MA"/>
        </w:rPr>
        <w:t>%</w:t>
      </w:r>
      <w:r w:rsidRPr="00BD4B00">
        <w:rPr>
          <w:rFonts w:asciiTheme="majorBidi" w:hAnsiTheme="majorBidi" w:cstheme="majorBidi"/>
          <w:rtl/>
          <w:lang w:bidi="ar-MA"/>
        </w:rPr>
        <w:t xml:space="preserve"> من الأسر استمرارها في الارتفاع في حين لا يتجاوز معدل الأسر التي تنتظر انخفاضها </w:t>
      </w:r>
      <w:r w:rsidR="003C23A6" w:rsidRPr="00BD4B00">
        <w:rPr>
          <w:rFonts w:asciiTheme="majorBidi" w:hAnsiTheme="majorBidi" w:cstheme="majorBidi"/>
          <w:rtl/>
          <w:lang w:bidi="ar-MA"/>
        </w:rPr>
        <w:t xml:space="preserve">5,0 </w:t>
      </w:r>
      <w:r w:rsidRPr="00BD4B00">
        <w:rPr>
          <w:rFonts w:asciiTheme="majorBidi" w:hAnsiTheme="majorBidi" w:cstheme="majorBidi"/>
          <w:lang w:bidi="ar-MA"/>
        </w:rPr>
        <w:t>%</w:t>
      </w:r>
      <w:r w:rsidRPr="00BD4B00">
        <w:rPr>
          <w:rFonts w:asciiTheme="majorBidi" w:hAnsiTheme="majorBidi" w:cstheme="majorBidi"/>
          <w:rtl/>
          <w:lang w:bidi="ar-MA"/>
        </w:rPr>
        <w:t xml:space="preserve">. وهكذا استقر رصيد هذه الآراء في مستوى سلبي بلغ ناقص </w:t>
      </w:r>
      <w:r w:rsidR="000C15D5" w:rsidRPr="00BD4B00">
        <w:rPr>
          <w:rFonts w:asciiTheme="majorBidi" w:hAnsiTheme="majorBidi" w:cstheme="majorBidi"/>
          <w:lang w:bidi="ar-MA"/>
        </w:rPr>
        <w:t>71,8</w:t>
      </w:r>
      <w:r w:rsidRPr="00BD4B00">
        <w:rPr>
          <w:rFonts w:asciiTheme="majorBidi" w:hAnsiTheme="majorBidi" w:cstheme="majorBidi"/>
          <w:rtl/>
          <w:lang w:bidi="ar-MA"/>
        </w:rPr>
        <w:t xml:space="preserve"> نقطة، عوض ناقص</w:t>
      </w:r>
      <w:r w:rsidR="00CA4E5D" w:rsidRPr="00BD4B00">
        <w:rPr>
          <w:rFonts w:asciiTheme="majorBidi" w:hAnsiTheme="majorBidi" w:cstheme="majorBidi"/>
          <w:lang w:bidi="ar-MA"/>
        </w:rPr>
        <w:t xml:space="preserve"> </w:t>
      </w:r>
      <w:r w:rsidR="003C23A6" w:rsidRPr="00BD4B00">
        <w:rPr>
          <w:rFonts w:asciiTheme="majorBidi" w:hAnsiTheme="majorBidi" w:cstheme="majorBidi"/>
          <w:rtl/>
          <w:lang w:bidi="ar-MA"/>
        </w:rPr>
        <w:t xml:space="preserve">73,6 </w:t>
      </w:r>
      <w:r w:rsidR="00CD4618" w:rsidRPr="00BD4B00">
        <w:rPr>
          <w:rFonts w:asciiTheme="majorBidi" w:hAnsiTheme="majorBidi" w:cstheme="majorBidi"/>
          <w:rtl/>
          <w:lang w:bidi="ar-MA"/>
        </w:rPr>
        <w:t>ن</w:t>
      </w:r>
      <w:r w:rsidRPr="00BD4B00">
        <w:rPr>
          <w:rFonts w:asciiTheme="majorBidi" w:hAnsiTheme="majorBidi" w:cstheme="majorBidi"/>
          <w:rtl/>
          <w:lang w:bidi="ar-MA"/>
        </w:rPr>
        <w:t>قطة المسجلة خلال</w:t>
      </w:r>
      <w:r w:rsidRPr="00BD4B00">
        <w:rPr>
          <w:rFonts w:asciiTheme="majorBidi" w:hAnsiTheme="majorBidi" w:cstheme="majorBidi"/>
          <w:lang w:bidi="ar-MA"/>
        </w:rPr>
        <w:t xml:space="preserve"> </w:t>
      </w:r>
      <w:r w:rsidRPr="00BD4B00">
        <w:rPr>
          <w:rFonts w:asciiTheme="majorBidi" w:hAnsiTheme="majorBidi" w:cstheme="majorBidi"/>
          <w:rtl/>
          <w:lang w:bidi="ar-MA"/>
        </w:rPr>
        <w:t xml:space="preserve">الفصل السابق </w:t>
      </w:r>
      <w:r w:rsidR="001D59A8" w:rsidRPr="00BD4B00">
        <w:rPr>
          <w:rFonts w:asciiTheme="majorBidi" w:hAnsiTheme="majorBidi" w:cstheme="majorBidi"/>
          <w:rtl/>
          <w:lang w:bidi="ar-MA"/>
        </w:rPr>
        <w:t>وناقص</w:t>
      </w:r>
      <w:r w:rsidR="000C15D5" w:rsidRPr="00BD4B00">
        <w:rPr>
          <w:rFonts w:asciiTheme="majorBidi" w:hAnsiTheme="majorBidi" w:cstheme="majorBidi"/>
          <w:lang w:bidi="ar-MA"/>
        </w:rPr>
        <w:t xml:space="preserve"> </w:t>
      </w:r>
      <w:r w:rsidR="003C23A6" w:rsidRPr="00BD4B00">
        <w:rPr>
          <w:rFonts w:asciiTheme="majorBidi" w:hAnsiTheme="majorBidi" w:cstheme="majorBidi"/>
          <w:rtl/>
          <w:lang w:bidi="ar-MA"/>
        </w:rPr>
        <w:t xml:space="preserve">76,3 </w:t>
      </w:r>
      <w:r w:rsidRPr="00BD4B00">
        <w:rPr>
          <w:rFonts w:asciiTheme="majorBidi" w:hAnsiTheme="majorBidi" w:cstheme="majorBidi"/>
          <w:rtl/>
          <w:lang w:bidi="ar-MA"/>
        </w:rPr>
        <w:t xml:space="preserve">نقطة المسجلة خلال نفس الفصل من السنة الماضية. </w:t>
      </w:r>
    </w:p>
    <w:p w:rsidR="007F7CAA" w:rsidRPr="00BD4B00" w:rsidRDefault="00B5783F" w:rsidP="00BD4B00">
      <w:pPr>
        <w:pStyle w:val="Paragraphedeliste"/>
        <w:widowControl/>
        <w:autoSpaceDE/>
        <w:autoSpaceDN/>
        <w:bidi/>
        <w:adjustRightInd/>
        <w:spacing w:after="200" w:line="360" w:lineRule="auto"/>
        <w:ind w:left="502"/>
        <w:rPr>
          <w:rFonts w:asciiTheme="majorBidi" w:hAnsiTheme="majorBidi" w:cstheme="majorBidi"/>
          <w:noProof/>
          <w:lang w:val="fr-MA"/>
        </w:rPr>
      </w:pPr>
      <w:r w:rsidRPr="00BD4B00">
        <w:rPr>
          <w:rFonts w:asciiTheme="majorBidi" w:hAnsiTheme="majorBidi" w:cstheme="majorBidi"/>
          <w:b/>
          <w:bCs/>
          <w:sz w:val="26"/>
          <w:szCs w:val="26"/>
          <w:rtl/>
          <w:lang w:bidi="ar-DZ"/>
        </w:rPr>
        <w:lastRenderedPageBreak/>
        <w:t xml:space="preserve">مبيان 6: </w:t>
      </w:r>
      <w:r w:rsidRPr="00BD4B00">
        <w:rPr>
          <w:rFonts w:asciiTheme="majorBidi" w:hAnsiTheme="majorBidi" w:cstheme="majorBidi"/>
          <w:b/>
          <w:bCs/>
          <w:sz w:val="26"/>
          <w:szCs w:val="26"/>
          <w:rtl/>
          <w:lang w:bidi="ar-MA"/>
        </w:rPr>
        <w:t>تصور الأسر للتطور السابق و المستقبلي لأثمنة المواد الغذائية (أرصدة الآراء)</w:t>
      </w:r>
      <w:r w:rsidR="00A52724" w:rsidRPr="00BD4B00">
        <w:rPr>
          <w:rFonts w:asciiTheme="majorBidi" w:hAnsiTheme="majorBidi" w:cstheme="majorBidi"/>
          <w:noProof/>
        </w:rPr>
        <w:drawing>
          <wp:inline distT="0" distB="0" distL="0" distR="0">
            <wp:extent cx="5707207" cy="3521033"/>
            <wp:effectExtent l="19050" t="0" r="26843" b="3217"/>
            <wp:docPr id="12" name="Graphique 12"/>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CB5ADC" w:rsidRPr="00BD4B00" w:rsidRDefault="004F3CFE" w:rsidP="00BD4B00">
      <w:pPr>
        <w:shd w:val="clear" w:color="auto" w:fill="FFFFFF" w:themeFill="background1"/>
        <w:bidi/>
        <w:spacing w:line="360" w:lineRule="auto"/>
        <w:jc w:val="both"/>
        <w:rPr>
          <w:rFonts w:asciiTheme="majorBidi" w:hAnsiTheme="majorBidi" w:cstheme="majorBidi"/>
          <w:sz w:val="28"/>
          <w:szCs w:val="28"/>
          <w:lang w:bidi="ar-MA"/>
        </w:rPr>
      </w:pPr>
      <w:r w:rsidRPr="00BD4B00">
        <w:rPr>
          <w:rFonts w:asciiTheme="majorBidi" w:hAnsiTheme="majorBidi" w:cstheme="majorBidi"/>
          <w:b/>
          <w:bCs/>
          <w:color w:val="202124"/>
          <w:sz w:val="22"/>
          <w:szCs w:val="22"/>
          <w:rtl/>
        </w:rPr>
        <w:t xml:space="preserve">       </w:t>
      </w:r>
      <w:r w:rsidR="00B5783F" w:rsidRPr="00BD4B00">
        <w:rPr>
          <w:rFonts w:asciiTheme="majorBidi" w:hAnsiTheme="majorBidi" w:cstheme="majorBidi"/>
          <w:b/>
          <w:bCs/>
          <w:color w:val="202124"/>
          <w:sz w:val="22"/>
          <w:szCs w:val="22"/>
          <w:rtl/>
        </w:rPr>
        <w:t>المصدر</w:t>
      </w:r>
      <w:r w:rsidR="00B5783F" w:rsidRPr="00BD4B00">
        <w:rPr>
          <w:rFonts w:asciiTheme="majorBidi" w:hAnsiTheme="majorBidi" w:cstheme="majorBidi"/>
          <w:b/>
          <w:bCs/>
          <w:color w:val="202124"/>
          <w:sz w:val="22"/>
          <w:szCs w:val="22"/>
        </w:rPr>
        <w:t xml:space="preserve">: </w:t>
      </w:r>
      <w:r w:rsidR="00B5783F" w:rsidRPr="00BD4B00">
        <w:rPr>
          <w:rFonts w:asciiTheme="majorBidi" w:hAnsiTheme="majorBidi" w:cstheme="majorBidi"/>
          <w:b/>
          <w:bCs/>
          <w:color w:val="202124"/>
          <w:sz w:val="22"/>
          <w:szCs w:val="22"/>
          <w:rtl/>
        </w:rPr>
        <w:t>المندوبية السامية للتخطيط، البحث الوطني الدائم حول الظرفية لدى الأسر</w:t>
      </w:r>
    </w:p>
    <w:p w:rsidR="00127CFC" w:rsidRPr="00BD4B00" w:rsidRDefault="00127CFC" w:rsidP="00BD4B00">
      <w:pPr>
        <w:pStyle w:val="Paragraphedeliste"/>
        <w:widowControl/>
        <w:autoSpaceDE/>
        <w:autoSpaceDN/>
        <w:bidi/>
        <w:adjustRightInd/>
        <w:spacing w:after="200" w:line="360" w:lineRule="auto"/>
        <w:ind w:left="360"/>
        <w:jc w:val="both"/>
        <w:rPr>
          <w:rFonts w:asciiTheme="majorBidi" w:hAnsiTheme="majorBidi" w:cstheme="majorBidi"/>
          <w:sz w:val="28"/>
          <w:szCs w:val="28"/>
          <w:lang w:bidi="ar-MA"/>
        </w:rPr>
      </w:pPr>
    </w:p>
    <w:p w:rsidR="00C866CD" w:rsidRPr="00BD4B00" w:rsidRDefault="00C866CD" w:rsidP="00BD4B00">
      <w:pPr>
        <w:pStyle w:val="Paragraphedeliste"/>
        <w:widowControl/>
        <w:numPr>
          <w:ilvl w:val="0"/>
          <w:numId w:val="2"/>
        </w:numPr>
        <w:autoSpaceDE/>
        <w:autoSpaceDN/>
        <w:bidi/>
        <w:adjustRightInd/>
        <w:spacing w:after="200" w:line="360" w:lineRule="auto"/>
        <w:ind w:left="360"/>
        <w:jc w:val="both"/>
        <w:rPr>
          <w:rFonts w:asciiTheme="majorBidi" w:hAnsiTheme="majorBidi" w:cstheme="majorBidi"/>
          <w:sz w:val="28"/>
          <w:szCs w:val="28"/>
          <w:lang w:bidi="ar-MA"/>
        </w:rPr>
      </w:pPr>
      <w:r w:rsidRPr="00BD4B00">
        <w:rPr>
          <w:rFonts w:asciiTheme="majorBidi" w:hAnsiTheme="majorBidi" w:cstheme="majorBidi"/>
          <w:b/>
          <w:bCs/>
          <w:sz w:val="28"/>
          <w:szCs w:val="28"/>
          <w:rtl/>
          <w:lang w:bidi="ar-MA"/>
        </w:rPr>
        <w:t xml:space="preserve">تطور مؤشرات </w:t>
      </w:r>
      <w:r w:rsidR="000E68FD" w:rsidRPr="00BD4B00">
        <w:rPr>
          <w:rFonts w:asciiTheme="majorBidi" w:hAnsiTheme="majorBidi" w:cstheme="majorBidi"/>
          <w:b/>
          <w:bCs/>
          <w:sz w:val="28"/>
          <w:szCs w:val="28"/>
          <w:rtl/>
          <w:lang w:bidi="ar-MA"/>
        </w:rPr>
        <w:t xml:space="preserve">سنوية </w:t>
      </w:r>
      <w:r w:rsidRPr="00BD4B00">
        <w:rPr>
          <w:rFonts w:asciiTheme="majorBidi" w:hAnsiTheme="majorBidi" w:cstheme="majorBidi"/>
          <w:b/>
          <w:bCs/>
          <w:sz w:val="28"/>
          <w:szCs w:val="28"/>
          <w:rtl/>
          <w:lang w:bidi="ar-MA"/>
        </w:rPr>
        <w:t>لآراء الأسر حول الظرفية</w:t>
      </w:r>
    </w:p>
    <w:p w:rsidR="00A64E23" w:rsidRPr="00BD4B00" w:rsidRDefault="00A64E23" w:rsidP="00BD4B00">
      <w:pPr>
        <w:pStyle w:val="Paragraphedeliste"/>
        <w:widowControl/>
        <w:autoSpaceDE/>
        <w:autoSpaceDN/>
        <w:bidi/>
        <w:adjustRightInd/>
        <w:spacing w:after="200" w:line="360" w:lineRule="auto"/>
        <w:ind w:left="360"/>
        <w:jc w:val="both"/>
        <w:rPr>
          <w:rFonts w:asciiTheme="majorBidi" w:hAnsiTheme="majorBidi" w:cstheme="majorBidi"/>
          <w:sz w:val="28"/>
          <w:szCs w:val="28"/>
          <w:lang w:bidi="ar-MA"/>
        </w:rPr>
      </w:pPr>
    </w:p>
    <w:p w:rsidR="00C866CD" w:rsidRPr="00BD4B00" w:rsidRDefault="00C866CD" w:rsidP="00BD4B00">
      <w:pPr>
        <w:pStyle w:val="Paragraphedeliste"/>
        <w:widowControl/>
        <w:autoSpaceDE/>
        <w:autoSpaceDN/>
        <w:bidi/>
        <w:adjustRightInd/>
        <w:spacing w:line="360" w:lineRule="auto"/>
        <w:ind w:left="502"/>
        <w:jc w:val="both"/>
        <w:rPr>
          <w:rFonts w:asciiTheme="majorBidi" w:hAnsiTheme="majorBidi" w:cstheme="majorBidi"/>
          <w:rtl/>
          <w:lang w:bidi="ar-MA"/>
        </w:rPr>
      </w:pPr>
      <w:r w:rsidRPr="00BD4B00">
        <w:rPr>
          <w:rFonts w:asciiTheme="majorBidi" w:hAnsiTheme="majorBidi" w:cstheme="majorBidi"/>
          <w:rtl/>
          <w:lang w:bidi="ar-MA"/>
        </w:rPr>
        <w:t>بالاضافة للمؤشرات الفصلية، تقوم المندوبية السامية للتخطيط في نهاية كل سنة بحساب أرصدة تصورات الأسر لمكونات أخرى متعلقة بمحيطها والتي لا تعرف تغييرات معبرة من فصل إلى آخر. ويتعلق الأمر بالتطور الحاصل ما بين</w:t>
      </w:r>
      <w:r w:rsidR="00C05B4E" w:rsidRPr="00BD4B00">
        <w:rPr>
          <w:rFonts w:asciiTheme="majorBidi" w:hAnsiTheme="majorBidi" w:cstheme="majorBidi"/>
          <w:rtl/>
          <w:lang w:bidi="ar-MA"/>
        </w:rPr>
        <w:t>2021</w:t>
      </w:r>
      <w:r w:rsidRPr="00BD4B00">
        <w:rPr>
          <w:rFonts w:asciiTheme="majorBidi" w:hAnsiTheme="majorBidi" w:cstheme="majorBidi"/>
          <w:rtl/>
          <w:lang w:bidi="ar-MA"/>
        </w:rPr>
        <w:t xml:space="preserve"> و</w:t>
      </w:r>
      <w:r w:rsidR="00C05B4E" w:rsidRPr="00BD4B00">
        <w:rPr>
          <w:rFonts w:asciiTheme="majorBidi" w:hAnsiTheme="majorBidi" w:cstheme="majorBidi"/>
          <w:rtl/>
          <w:lang w:bidi="ar-MA"/>
        </w:rPr>
        <w:t>2022</w:t>
      </w:r>
      <w:r w:rsidRPr="00BD4B00">
        <w:rPr>
          <w:rFonts w:asciiTheme="majorBidi" w:hAnsiTheme="majorBidi" w:cstheme="majorBidi"/>
          <w:rtl/>
          <w:lang w:bidi="ar-MA"/>
        </w:rPr>
        <w:t xml:space="preserve"> لآراء الأسر حول وضعية حقوق الإنسان والمحافظة على البيئة وكذا جودة بعض الخدمات العمومية.</w:t>
      </w:r>
    </w:p>
    <w:p w:rsidR="00C866CD" w:rsidRPr="00BD4B00" w:rsidRDefault="00C866CD" w:rsidP="00BD4B00">
      <w:pPr>
        <w:pStyle w:val="Paragraphedeliste"/>
        <w:widowControl/>
        <w:autoSpaceDE/>
        <w:autoSpaceDN/>
        <w:bidi/>
        <w:adjustRightInd/>
        <w:spacing w:line="360" w:lineRule="auto"/>
        <w:ind w:left="502"/>
        <w:jc w:val="both"/>
        <w:rPr>
          <w:rFonts w:asciiTheme="majorBidi" w:hAnsiTheme="majorBidi" w:cstheme="majorBidi"/>
          <w:rtl/>
          <w:lang w:bidi="ar-MA"/>
        </w:rPr>
      </w:pPr>
    </w:p>
    <w:p w:rsidR="00A23ACB" w:rsidRPr="00BD4B00" w:rsidRDefault="00C866CD" w:rsidP="00BD4B00">
      <w:pPr>
        <w:pStyle w:val="Paragraphedeliste"/>
        <w:widowControl/>
        <w:numPr>
          <w:ilvl w:val="1"/>
          <w:numId w:val="2"/>
        </w:numPr>
        <w:autoSpaceDE/>
        <w:autoSpaceDN/>
        <w:bidi/>
        <w:adjustRightInd/>
        <w:spacing w:after="200" w:line="360" w:lineRule="auto"/>
        <w:ind w:left="425" w:firstLine="0"/>
        <w:jc w:val="both"/>
        <w:rPr>
          <w:rFonts w:asciiTheme="majorBidi" w:hAnsiTheme="majorBidi" w:cstheme="majorBidi"/>
          <w:b/>
          <w:bCs/>
          <w:sz w:val="28"/>
          <w:szCs w:val="28"/>
          <w:lang w:bidi="ar-MA"/>
        </w:rPr>
      </w:pPr>
      <w:r w:rsidRPr="00BD4B00">
        <w:rPr>
          <w:rFonts w:asciiTheme="majorBidi" w:hAnsiTheme="majorBidi" w:cstheme="majorBidi"/>
          <w:b/>
          <w:bCs/>
          <w:sz w:val="30"/>
          <w:szCs w:val="30"/>
          <w:rtl/>
          <w:lang w:bidi="ar-MA"/>
        </w:rPr>
        <w:t xml:space="preserve">جودة الخدمات الإدارية: آراء </w:t>
      </w:r>
      <w:r w:rsidR="000E5920">
        <w:rPr>
          <w:rFonts w:asciiTheme="majorBidi" w:hAnsiTheme="majorBidi" w:cstheme="majorBidi" w:hint="cs"/>
          <w:b/>
          <w:bCs/>
          <w:sz w:val="30"/>
          <w:szCs w:val="30"/>
          <w:rtl/>
          <w:lang w:bidi="ar-MA"/>
        </w:rPr>
        <w:t xml:space="preserve">نسبيا </w:t>
      </w:r>
      <w:r w:rsidR="008026A4" w:rsidRPr="00BD4B00">
        <w:rPr>
          <w:rFonts w:asciiTheme="majorBidi" w:hAnsiTheme="majorBidi" w:cstheme="majorBidi"/>
          <w:b/>
          <w:bCs/>
          <w:sz w:val="30"/>
          <w:szCs w:val="30"/>
          <w:rtl/>
          <w:lang w:bidi="ar-MA"/>
        </w:rPr>
        <w:t xml:space="preserve">أكثر </w:t>
      </w:r>
      <w:r w:rsidR="00A26D03" w:rsidRPr="00BD4B00">
        <w:rPr>
          <w:rFonts w:asciiTheme="majorBidi" w:hAnsiTheme="majorBidi" w:cstheme="majorBidi"/>
          <w:b/>
          <w:bCs/>
          <w:sz w:val="30"/>
          <w:szCs w:val="30"/>
          <w:rtl/>
          <w:lang w:bidi="ar-DZ"/>
        </w:rPr>
        <w:t>إيجابية</w:t>
      </w:r>
      <w:r w:rsidRPr="00BD4B00">
        <w:rPr>
          <w:rFonts w:asciiTheme="majorBidi" w:hAnsiTheme="majorBidi" w:cstheme="majorBidi"/>
          <w:b/>
          <w:bCs/>
          <w:sz w:val="28"/>
          <w:szCs w:val="28"/>
          <w:rtl/>
          <w:lang w:bidi="ar-MA"/>
        </w:rPr>
        <w:t xml:space="preserve"> </w:t>
      </w:r>
    </w:p>
    <w:p w:rsidR="00C866CD" w:rsidRPr="00BD4B00" w:rsidRDefault="00C866CD" w:rsidP="00BD4B00">
      <w:pPr>
        <w:pStyle w:val="Paragraphedeliste"/>
        <w:widowControl/>
        <w:autoSpaceDE/>
        <w:autoSpaceDN/>
        <w:bidi/>
        <w:adjustRightInd/>
        <w:spacing w:after="200" w:line="360" w:lineRule="auto"/>
        <w:ind w:left="425"/>
        <w:jc w:val="both"/>
        <w:rPr>
          <w:rFonts w:asciiTheme="majorBidi" w:hAnsiTheme="majorBidi" w:cstheme="majorBidi"/>
          <w:rtl/>
          <w:lang w:bidi="ar-MA"/>
        </w:rPr>
      </w:pPr>
      <w:r w:rsidRPr="00BD4B00">
        <w:rPr>
          <w:rFonts w:asciiTheme="majorBidi" w:hAnsiTheme="majorBidi" w:cstheme="majorBidi"/>
          <w:rtl/>
          <w:lang w:bidi="ar-MA"/>
        </w:rPr>
        <w:t xml:space="preserve">خلال سنة </w:t>
      </w:r>
      <w:r w:rsidR="00C05B4E" w:rsidRPr="00BD4B00">
        <w:rPr>
          <w:rFonts w:asciiTheme="majorBidi" w:hAnsiTheme="majorBidi" w:cstheme="majorBidi"/>
          <w:rtl/>
          <w:lang w:bidi="ar-MA"/>
        </w:rPr>
        <w:t>2022</w:t>
      </w:r>
      <w:r w:rsidRPr="00BD4B00">
        <w:rPr>
          <w:rFonts w:asciiTheme="majorBidi" w:hAnsiTheme="majorBidi" w:cstheme="majorBidi"/>
          <w:rtl/>
          <w:lang w:bidi="ar-MA"/>
        </w:rPr>
        <w:t xml:space="preserve">، </w:t>
      </w:r>
      <w:r w:rsidR="00A26D03" w:rsidRPr="00BD4B00">
        <w:rPr>
          <w:rFonts w:asciiTheme="majorBidi" w:hAnsiTheme="majorBidi" w:cstheme="majorBidi"/>
          <w:rtl/>
          <w:lang w:bidi="ar-MA"/>
        </w:rPr>
        <w:t xml:space="preserve">صرحت </w:t>
      </w:r>
      <w:r w:rsidR="009A21E5" w:rsidRPr="00BD4B00">
        <w:rPr>
          <w:rFonts w:asciiTheme="majorBidi" w:hAnsiTheme="majorBidi" w:cstheme="majorBidi"/>
          <w:lang w:bidi="ar-MA"/>
        </w:rPr>
        <w:t>55,5</w:t>
      </w:r>
      <w:r w:rsidR="00A26D03" w:rsidRPr="00BD4B00">
        <w:rPr>
          <w:rFonts w:asciiTheme="majorBidi" w:hAnsiTheme="majorBidi" w:cstheme="majorBidi"/>
          <w:rtl/>
          <w:lang w:bidi="ar-MA"/>
        </w:rPr>
        <w:t xml:space="preserve"> </w:t>
      </w:r>
      <w:r w:rsidR="00A26D03" w:rsidRPr="00BD4B00">
        <w:rPr>
          <w:rFonts w:asciiTheme="majorBidi" w:hAnsiTheme="majorBidi" w:cstheme="majorBidi"/>
          <w:lang w:bidi="ar-MA"/>
        </w:rPr>
        <w:t>%</w:t>
      </w:r>
      <w:r w:rsidR="00A26D03" w:rsidRPr="00BD4B00">
        <w:rPr>
          <w:rFonts w:asciiTheme="majorBidi" w:hAnsiTheme="majorBidi" w:cstheme="majorBidi"/>
          <w:rtl/>
          <w:lang w:bidi="ar-MA"/>
        </w:rPr>
        <w:t xml:space="preserve"> من الأسر </w:t>
      </w:r>
      <w:r w:rsidRPr="00BD4B00">
        <w:rPr>
          <w:rFonts w:asciiTheme="majorBidi" w:hAnsiTheme="majorBidi" w:cstheme="majorBidi"/>
          <w:rtl/>
          <w:lang w:bidi="ar-MA"/>
        </w:rPr>
        <w:t xml:space="preserve">بتحسن جودة الخدمات الإدارية </w:t>
      </w:r>
      <w:r w:rsidR="00101230" w:rsidRPr="00BD4B00">
        <w:rPr>
          <w:rFonts w:asciiTheme="majorBidi" w:hAnsiTheme="majorBidi" w:cstheme="majorBidi"/>
          <w:rtl/>
          <w:lang w:bidi="ar-MA"/>
        </w:rPr>
        <w:t xml:space="preserve">في حين رأت </w:t>
      </w:r>
      <w:r w:rsidRPr="00BD4B00">
        <w:rPr>
          <w:rFonts w:asciiTheme="majorBidi" w:hAnsiTheme="majorBidi" w:cstheme="majorBidi"/>
          <w:lang w:bidi="ar-MA"/>
        </w:rPr>
        <w:t xml:space="preserve">% </w:t>
      </w:r>
      <w:r w:rsidR="009A21E5" w:rsidRPr="00BD4B00">
        <w:rPr>
          <w:rFonts w:asciiTheme="majorBidi" w:hAnsiTheme="majorBidi" w:cstheme="majorBidi"/>
          <w:lang w:bidi="ar-MA"/>
        </w:rPr>
        <w:t>18,6</w:t>
      </w:r>
      <w:r w:rsidR="00101230" w:rsidRPr="00BD4B00">
        <w:rPr>
          <w:rFonts w:asciiTheme="majorBidi" w:hAnsiTheme="majorBidi" w:cstheme="majorBidi"/>
          <w:rtl/>
          <w:lang w:bidi="ar-MA"/>
        </w:rPr>
        <w:t xml:space="preserve"> عكس ذلك</w:t>
      </w:r>
      <w:r w:rsidRPr="00BD4B00">
        <w:rPr>
          <w:rFonts w:asciiTheme="majorBidi" w:hAnsiTheme="majorBidi" w:cstheme="majorBidi"/>
          <w:rtl/>
          <w:lang w:bidi="ar-MA"/>
        </w:rPr>
        <w:t xml:space="preserve">. وهكذا </w:t>
      </w:r>
      <w:r w:rsidR="00101230" w:rsidRPr="00BD4B00">
        <w:rPr>
          <w:rFonts w:asciiTheme="majorBidi" w:hAnsiTheme="majorBidi" w:cstheme="majorBidi"/>
          <w:rtl/>
          <w:lang w:bidi="ar-MA"/>
        </w:rPr>
        <w:t>انتقل رصيد هذه الآراء إلى</w:t>
      </w:r>
      <w:r w:rsidRPr="00BD4B00">
        <w:rPr>
          <w:rFonts w:asciiTheme="majorBidi" w:hAnsiTheme="majorBidi" w:cstheme="majorBidi"/>
          <w:rtl/>
          <w:lang w:bidi="ar-MA"/>
        </w:rPr>
        <w:t xml:space="preserve"> </w:t>
      </w:r>
      <w:r w:rsidR="009A21E5" w:rsidRPr="00BD4B00">
        <w:rPr>
          <w:rFonts w:asciiTheme="majorBidi" w:hAnsiTheme="majorBidi" w:cstheme="majorBidi"/>
          <w:lang w:bidi="ar-MA"/>
        </w:rPr>
        <w:t>36,9</w:t>
      </w:r>
      <w:r w:rsidRPr="00BD4B00">
        <w:rPr>
          <w:rFonts w:asciiTheme="majorBidi" w:hAnsiTheme="majorBidi" w:cstheme="majorBidi"/>
          <w:rtl/>
          <w:lang w:bidi="ar-MA"/>
        </w:rPr>
        <w:t xml:space="preserve"> نقطة </w:t>
      </w:r>
      <w:r w:rsidR="00101230" w:rsidRPr="00BD4B00">
        <w:rPr>
          <w:rFonts w:asciiTheme="majorBidi" w:hAnsiTheme="majorBidi" w:cstheme="majorBidi"/>
          <w:rtl/>
          <w:lang w:bidi="ar-MA"/>
        </w:rPr>
        <w:t xml:space="preserve">مقابل </w:t>
      </w:r>
      <w:r w:rsidR="009A21E5" w:rsidRPr="00BD4B00">
        <w:rPr>
          <w:rFonts w:asciiTheme="majorBidi" w:hAnsiTheme="majorBidi" w:cstheme="majorBidi"/>
          <w:rtl/>
          <w:lang w:bidi="ar-MA"/>
        </w:rPr>
        <w:t>34,4</w:t>
      </w:r>
      <w:r w:rsidR="00F7341A" w:rsidRPr="00BD4B00">
        <w:rPr>
          <w:rFonts w:asciiTheme="majorBidi" w:hAnsiTheme="majorBidi" w:cstheme="majorBidi"/>
          <w:rtl/>
          <w:lang w:bidi="ar-MA"/>
        </w:rPr>
        <w:t xml:space="preserve"> </w:t>
      </w:r>
      <w:r w:rsidR="001D59A8" w:rsidRPr="00BD4B00">
        <w:rPr>
          <w:rFonts w:asciiTheme="majorBidi" w:hAnsiTheme="majorBidi" w:cstheme="majorBidi"/>
          <w:rtl/>
          <w:lang w:bidi="ar-MA"/>
        </w:rPr>
        <w:t>نقطة</w:t>
      </w:r>
      <w:r w:rsidR="00101230" w:rsidRPr="00BD4B00">
        <w:rPr>
          <w:rFonts w:asciiTheme="majorBidi" w:hAnsiTheme="majorBidi" w:cstheme="majorBidi"/>
          <w:rtl/>
          <w:lang w:bidi="ar-MA"/>
        </w:rPr>
        <w:t xml:space="preserve"> المسجلة خلال سنة</w:t>
      </w:r>
      <w:r w:rsidRPr="00BD4B00">
        <w:rPr>
          <w:rFonts w:asciiTheme="majorBidi" w:hAnsiTheme="majorBidi" w:cstheme="majorBidi"/>
          <w:rtl/>
          <w:lang w:bidi="ar-MA"/>
        </w:rPr>
        <w:t xml:space="preserve"> </w:t>
      </w:r>
      <w:r w:rsidR="00C05B4E" w:rsidRPr="00BD4B00">
        <w:rPr>
          <w:rFonts w:asciiTheme="majorBidi" w:hAnsiTheme="majorBidi" w:cstheme="majorBidi"/>
          <w:rtl/>
          <w:lang w:bidi="ar-MA"/>
        </w:rPr>
        <w:t>2021</w:t>
      </w:r>
      <w:r w:rsidRPr="00BD4B00">
        <w:rPr>
          <w:rFonts w:asciiTheme="majorBidi" w:hAnsiTheme="majorBidi" w:cstheme="majorBidi"/>
          <w:rtl/>
          <w:lang w:bidi="ar-MA"/>
        </w:rPr>
        <w:t>.</w:t>
      </w:r>
      <w:r w:rsidRPr="00BD4B00">
        <w:rPr>
          <w:rFonts w:asciiTheme="majorBidi" w:hAnsiTheme="majorBidi" w:cstheme="majorBidi"/>
          <w:lang w:bidi="ar-MA"/>
        </w:rPr>
        <w:t xml:space="preserve"> </w:t>
      </w:r>
    </w:p>
    <w:p w:rsidR="00C866CD" w:rsidRPr="00BD4B00" w:rsidRDefault="00C866CD" w:rsidP="00BD4B00">
      <w:pPr>
        <w:pStyle w:val="Paragraphedeliste"/>
        <w:widowControl/>
        <w:autoSpaceDE/>
        <w:autoSpaceDN/>
        <w:bidi/>
        <w:adjustRightInd/>
        <w:spacing w:after="200" w:line="360" w:lineRule="auto"/>
        <w:ind w:left="425"/>
        <w:jc w:val="both"/>
        <w:rPr>
          <w:rFonts w:asciiTheme="majorBidi" w:hAnsiTheme="majorBidi" w:cstheme="majorBidi"/>
          <w:lang w:bidi="ar-MA"/>
        </w:rPr>
      </w:pPr>
    </w:p>
    <w:p w:rsidR="00A23ACB" w:rsidRPr="00BD4B00" w:rsidRDefault="00C866CD" w:rsidP="00BD4B00">
      <w:pPr>
        <w:pStyle w:val="Paragraphedeliste"/>
        <w:widowControl/>
        <w:numPr>
          <w:ilvl w:val="1"/>
          <w:numId w:val="2"/>
        </w:numPr>
        <w:autoSpaceDE/>
        <w:autoSpaceDN/>
        <w:bidi/>
        <w:adjustRightInd/>
        <w:spacing w:after="200" w:line="360" w:lineRule="auto"/>
        <w:ind w:left="425" w:firstLine="0"/>
        <w:jc w:val="both"/>
        <w:rPr>
          <w:rFonts w:asciiTheme="majorBidi" w:hAnsiTheme="majorBidi" w:cstheme="majorBidi"/>
          <w:b/>
          <w:bCs/>
          <w:sz w:val="30"/>
          <w:szCs w:val="30"/>
          <w:rtl/>
          <w:lang w:bidi="ar-MA"/>
        </w:rPr>
      </w:pPr>
      <w:r w:rsidRPr="00BD4B00">
        <w:rPr>
          <w:rFonts w:asciiTheme="majorBidi" w:hAnsiTheme="majorBidi" w:cstheme="majorBidi"/>
          <w:b/>
          <w:bCs/>
          <w:sz w:val="30"/>
          <w:szCs w:val="30"/>
          <w:rtl/>
          <w:lang w:bidi="ar-MA"/>
        </w:rPr>
        <w:t xml:space="preserve">المحافظة على البيئة: </w:t>
      </w:r>
      <w:r w:rsidR="008026A4" w:rsidRPr="00BD4B00">
        <w:rPr>
          <w:rFonts w:asciiTheme="majorBidi" w:hAnsiTheme="majorBidi" w:cstheme="majorBidi"/>
          <w:b/>
          <w:bCs/>
          <w:sz w:val="30"/>
          <w:szCs w:val="30"/>
          <w:rtl/>
          <w:lang w:bidi="ar-MA"/>
        </w:rPr>
        <w:t xml:space="preserve">تصور </w:t>
      </w:r>
      <w:r w:rsidR="008026A4" w:rsidRPr="00BD4B00">
        <w:rPr>
          <w:rFonts w:asciiTheme="majorBidi" w:hAnsiTheme="majorBidi" w:cstheme="majorBidi"/>
          <w:b/>
          <w:bCs/>
          <w:sz w:val="30"/>
          <w:szCs w:val="30"/>
          <w:rtl/>
          <w:lang w:bidi="ar-DZ"/>
        </w:rPr>
        <w:t>إيجابي</w:t>
      </w:r>
    </w:p>
    <w:p w:rsidR="009C0EA1" w:rsidRDefault="00755518" w:rsidP="00BD4B00">
      <w:pPr>
        <w:pStyle w:val="Paragraphedeliste"/>
        <w:widowControl/>
        <w:autoSpaceDE/>
        <w:autoSpaceDN/>
        <w:bidi/>
        <w:adjustRightInd/>
        <w:spacing w:after="200" w:line="360" w:lineRule="auto"/>
        <w:ind w:left="425"/>
        <w:jc w:val="both"/>
        <w:rPr>
          <w:rFonts w:asciiTheme="majorBidi" w:hAnsiTheme="majorBidi" w:cstheme="majorBidi"/>
          <w:rtl/>
          <w:lang w:bidi="ar-MA"/>
        </w:rPr>
      </w:pPr>
      <w:r w:rsidRPr="00BD4B00">
        <w:rPr>
          <w:rFonts w:asciiTheme="majorBidi" w:hAnsiTheme="majorBidi" w:cstheme="majorBidi"/>
          <w:rtl/>
          <w:lang w:bidi="ar-MA"/>
        </w:rPr>
        <w:t xml:space="preserve">خلال سنة </w:t>
      </w:r>
      <w:r w:rsidR="00C05B4E" w:rsidRPr="00BD4B00">
        <w:rPr>
          <w:rFonts w:asciiTheme="majorBidi" w:hAnsiTheme="majorBidi" w:cstheme="majorBidi"/>
          <w:rtl/>
          <w:lang w:bidi="ar-MA"/>
        </w:rPr>
        <w:t>2022</w:t>
      </w:r>
      <w:r w:rsidRPr="00BD4B00">
        <w:rPr>
          <w:rFonts w:asciiTheme="majorBidi" w:hAnsiTheme="majorBidi" w:cstheme="majorBidi"/>
          <w:rtl/>
          <w:lang w:bidi="ar-MA"/>
        </w:rPr>
        <w:t xml:space="preserve">،  صرحت </w:t>
      </w:r>
      <w:r w:rsidR="005A4E14" w:rsidRPr="00BD4B00">
        <w:rPr>
          <w:rFonts w:asciiTheme="majorBidi" w:hAnsiTheme="majorBidi" w:cstheme="majorBidi"/>
          <w:rtl/>
          <w:lang w:bidi="ar-MA"/>
        </w:rPr>
        <w:t>50,2</w:t>
      </w:r>
      <w:r w:rsidRPr="00BD4B00">
        <w:rPr>
          <w:rFonts w:asciiTheme="majorBidi" w:hAnsiTheme="majorBidi" w:cstheme="majorBidi"/>
          <w:rtl/>
          <w:lang w:bidi="ar-MA"/>
        </w:rPr>
        <w:t xml:space="preserve"> </w:t>
      </w:r>
      <w:r w:rsidRPr="00BD4B00">
        <w:rPr>
          <w:rFonts w:asciiTheme="majorBidi" w:hAnsiTheme="majorBidi" w:cstheme="majorBidi"/>
          <w:lang w:bidi="ar-MA"/>
        </w:rPr>
        <w:t>%</w:t>
      </w:r>
      <w:r w:rsidRPr="00BD4B00">
        <w:rPr>
          <w:rFonts w:asciiTheme="majorBidi" w:hAnsiTheme="majorBidi" w:cstheme="majorBidi"/>
          <w:rtl/>
          <w:lang w:bidi="ar-MA"/>
        </w:rPr>
        <w:t xml:space="preserve"> من الأسر أن جودة حماية البيئة بالمغرب قد</w:t>
      </w:r>
      <w:r w:rsidRPr="00BD4B00">
        <w:rPr>
          <w:rFonts w:asciiTheme="majorBidi" w:hAnsiTheme="majorBidi" w:cstheme="majorBidi"/>
          <w:sz w:val="28"/>
          <w:szCs w:val="28"/>
          <w:rtl/>
          <w:lang w:bidi="ar-MA"/>
        </w:rPr>
        <w:t xml:space="preserve"> تحسنت  فيما </w:t>
      </w:r>
      <w:r w:rsidRPr="00BD4B00">
        <w:rPr>
          <w:rFonts w:asciiTheme="majorBidi" w:hAnsiTheme="majorBidi" w:cstheme="majorBidi"/>
          <w:rtl/>
          <w:lang w:bidi="ar-MA"/>
        </w:rPr>
        <w:t>اعتبرت</w:t>
      </w:r>
      <w:r w:rsidR="009A21E5" w:rsidRPr="00BD4B00">
        <w:rPr>
          <w:rFonts w:asciiTheme="majorBidi" w:hAnsiTheme="majorBidi" w:cstheme="majorBidi"/>
          <w:lang w:bidi="ar-MA"/>
        </w:rPr>
        <w:t>15,8</w:t>
      </w:r>
      <w:r w:rsidRPr="00BD4B00">
        <w:rPr>
          <w:rFonts w:asciiTheme="majorBidi" w:hAnsiTheme="majorBidi" w:cstheme="majorBidi"/>
          <w:lang w:bidi="ar-MA"/>
        </w:rPr>
        <w:t xml:space="preserve"> </w:t>
      </w:r>
      <w:r w:rsidRPr="00BD4B00">
        <w:rPr>
          <w:rFonts w:asciiTheme="majorBidi" w:hAnsiTheme="majorBidi" w:cstheme="majorBidi"/>
          <w:rtl/>
          <w:lang w:bidi="ar-MA"/>
        </w:rPr>
        <w:t xml:space="preserve"> </w:t>
      </w:r>
      <w:r w:rsidRPr="00BD4B00">
        <w:rPr>
          <w:rFonts w:asciiTheme="majorBidi" w:hAnsiTheme="majorBidi" w:cstheme="majorBidi"/>
          <w:lang w:bidi="ar-MA"/>
        </w:rPr>
        <w:t>%</w:t>
      </w:r>
      <w:r w:rsidRPr="00BD4B00">
        <w:rPr>
          <w:rFonts w:asciiTheme="majorBidi" w:hAnsiTheme="majorBidi" w:cstheme="majorBidi"/>
          <w:rtl/>
          <w:lang w:bidi="ar-MA"/>
        </w:rPr>
        <w:t xml:space="preserve"> أنها قد تراجعت. وبذلك، بلغ رصيد آراء الأسر حول هذا المؤشر</w:t>
      </w:r>
      <w:r w:rsidR="009A21E5" w:rsidRPr="00BD4B00">
        <w:rPr>
          <w:rFonts w:asciiTheme="majorBidi" w:hAnsiTheme="majorBidi" w:cstheme="majorBidi"/>
          <w:lang w:bidi="ar-MA"/>
        </w:rPr>
        <w:t>34,</w:t>
      </w:r>
      <w:r w:rsidR="002B03EE" w:rsidRPr="00BD4B00">
        <w:rPr>
          <w:rFonts w:asciiTheme="majorBidi" w:hAnsiTheme="majorBidi" w:cstheme="majorBidi"/>
          <w:lang w:bidi="ar-MA"/>
        </w:rPr>
        <w:t>3</w:t>
      </w:r>
      <w:r w:rsidRPr="00BD4B00">
        <w:rPr>
          <w:rFonts w:asciiTheme="majorBidi" w:hAnsiTheme="majorBidi" w:cstheme="majorBidi"/>
          <w:lang w:bidi="ar-MA"/>
        </w:rPr>
        <w:t xml:space="preserve"> </w:t>
      </w:r>
      <w:r w:rsidRPr="00BD4B00">
        <w:rPr>
          <w:rFonts w:asciiTheme="majorBidi" w:hAnsiTheme="majorBidi" w:cstheme="majorBidi"/>
          <w:rtl/>
          <w:lang w:bidi="ar-MA"/>
        </w:rPr>
        <w:t xml:space="preserve"> نقطة مقابل </w:t>
      </w:r>
      <w:r w:rsidR="009A21E5" w:rsidRPr="00BD4B00">
        <w:rPr>
          <w:rFonts w:asciiTheme="majorBidi" w:hAnsiTheme="majorBidi" w:cstheme="majorBidi"/>
          <w:rtl/>
          <w:lang w:bidi="ar-MA"/>
        </w:rPr>
        <w:t>35,7</w:t>
      </w:r>
      <w:r w:rsidRPr="00BD4B00">
        <w:rPr>
          <w:rFonts w:asciiTheme="majorBidi" w:hAnsiTheme="majorBidi" w:cstheme="majorBidi"/>
          <w:rtl/>
          <w:lang w:bidi="ar-MA"/>
        </w:rPr>
        <w:t xml:space="preserve"> نقطة المسجلة خلال سنة </w:t>
      </w:r>
      <w:r w:rsidR="00C05B4E" w:rsidRPr="00BD4B00">
        <w:rPr>
          <w:rFonts w:asciiTheme="majorBidi" w:hAnsiTheme="majorBidi" w:cstheme="majorBidi"/>
          <w:rtl/>
          <w:lang w:bidi="ar-MA"/>
        </w:rPr>
        <w:t>2021</w:t>
      </w:r>
      <w:r w:rsidRPr="00BD4B00">
        <w:rPr>
          <w:rFonts w:asciiTheme="majorBidi" w:hAnsiTheme="majorBidi" w:cstheme="majorBidi"/>
          <w:rtl/>
          <w:lang w:bidi="ar-MA"/>
        </w:rPr>
        <w:t>.</w:t>
      </w:r>
    </w:p>
    <w:p w:rsidR="00BD4B00" w:rsidRPr="00BD4B00" w:rsidRDefault="00BD4B00" w:rsidP="00BD4B00">
      <w:pPr>
        <w:pStyle w:val="Paragraphedeliste"/>
        <w:widowControl/>
        <w:autoSpaceDE/>
        <w:autoSpaceDN/>
        <w:bidi/>
        <w:adjustRightInd/>
        <w:spacing w:after="200" w:line="360" w:lineRule="auto"/>
        <w:ind w:left="425"/>
        <w:jc w:val="both"/>
        <w:rPr>
          <w:rFonts w:asciiTheme="majorBidi" w:hAnsiTheme="majorBidi" w:cstheme="majorBidi"/>
          <w:rtl/>
          <w:lang w:bidi="ar-MA"/>
        </w:rPr>
      </w:pPr>
    </w:p>
    <w:p w:rsidR="005A4E14" w:rsidRPr="00BD4B00" w:rsidRDefault="005A4E14" w:rsidP="00BD4B00">
      <w:pPr>
        <w:pStyle w:val="Paragraphedeliste"/>
        <w:widowControl/>
        <w:autoSpaceDE/>
        <w:autoSpaceDN/>
        <w:bidi/>
        <w:adjustRightInd/>
        <w:spacing w:after="200" w:line="360" w:lineRule="auto"/>
        <w:ind w:left="425"/>
        <w:jc w:val="both"/>
        <w:rPr>
          <w:rFonts w:asciiTheme="majorBidi" w:hAnsiTheme="majorBidi" w:cstheme="majorBidi"/>
          <w:rtl/>
          <w:lang w:bidi="ar-MA"/>
        </w:rPr>
      </w:pPr>
    </w:p>
    <w:p w:rsidR="00755518" w:rsidRPr="00BD4B00" w:rsidRDefault="00755518" w:rsidP="000E5920">
      <w:pPr>
        <w:pStyle w:val="Paragraphedeliste"/>
        <w:widowControl/>
        <w:numPr>
          <w:ilvl w:val="0"/>
          <w:numId w:val="3"/>
        </w:numPr>
        <w:autoSpaceDE/>
        <w:autoSpaceDN/>
        <w:bidi/>
        <w:adjustRightInd/>
        <w:spacing w:after="200" w:line="360" w:lineRule="auto"/>
        <w:ind w:hanging="77"/>
        <w:rPr>
          <w:rFonts w:asciiTheme="majorBidi" w:hAnsiTheme="majorBidi" w:cstheme="majorBidi"/>
          <w:sz w:val="28"/>
          <w:szCs w:val="28"/>
          <w:lang w:bidi="ar-MA"/>
        </w:rPr>
      </w:pPr>
      <w:r w:rsidRPr="00BD4B00">
        <w:rPr>
          <w:rFonts w:asciiTheme="majorBidi" w:hAnsiTheme="majorBidi" w:cstheme="majorBidi"/>
          <w:b/>
          <w:bCs/>
          <w:sz w:val="28"/>
          <w:szCs w:val="28"/>
          <w:rtl/>
          <w:lang w:bidi="ar-MA"/>
        </w:rPr>
        <w:lastRenderedPageBreak/>
        <w:t>وضعية حقوق الإنسان: شعور</w:t>
      </w:r>
      <w:r w:rsidR="000E5920">
        <w:rPr>
          <w:rFonts w:asciiTheme="majorBidi" w:hAnsiTheme="majorBidi" w:cstheme="majorBidi" w:hint="cs"/>
          <w:b/>
          <w:bCs/>
          <w:sz w:val="28"/>
          <w:szCs w:val="28"/>
          <w:rtl/>
          <w:lang w:bidi="ar-MA"/>
        </w:rPr>
        <w:t xml:space="preserve"> بتحسن نسبي</w:t>
      </w:r>
      <w:r w:rsidRPr="00BD4B00">
        <w:rPr>
          <w:rFonts w:asciiTheme="majorBidi" w:hAnsiTheme="majorBidi" w:cstheme="majorBidi"/>
          <w:b/>
          <w:bCs/>
          <w:sz w:val="30"/>
          <w:szCs w:val="30"/>
          <w:rtl/>
          <w:lang w:bidi="ar-MA"/>
        </w:rPr>
        <w:t xml:space="preserve"> </w:t>
      </w:r>
    </w:p>
    <w:p w:rsidR="00A64E23" w:rsidRPr="00BD4B00" w:rsidRDefault="00755518" w:rsidP="00BD4B00">
      <w:pPr>
        <w:pStyle w:val="Paragraphedeliste"/>
        <w:widowControl/>
        <w:autoSpaceDE/>
        <w:autoSpaceDN/>
        <w:bidi/>
        <w:adjustRightInd/>
        <w:spacing w:after="200" w:line="360" w:lineRule="auto"/>
        <w:ind w:left="425"/>
        <w:jc w:val="both"/>
        <w:rPr>
          <w:rFonts w:asciiTheme="majorBidi" w:hAnsiTheme="majorBidi" w:cstheme="majorBidi"/>
          <w:rtl/>
          <w:lang w:bidi="ar-MA"/>
        </w:rPr>
      </w:pPr>
      <w:r w:rsidRPr="00BD4B00">
        <w:rPr>
          <w:rFonts w:asciiTheme="majorBidi" w:hAnsiTheme="majorBidi" w:cstheme="majorBidi"/>
          <w:rtl/>
          <w:lang w:bidi="ar-MA"/>
        </w:rPr>
        <w:t xml:space="preserve">خلال سنة </w:t>
      </w:r>
      <w:r w:rsidR="00C05B4E" w:rsidRPr="00BD4B00">
        <w:rPr>
          <w:rFonts w:asciiTheme="majorBidi" w:hAnsiTheme="majorBidi" w:cstheme="majorBidi"/>
          <w:rtl/>
          <w:lang w:bidi="ar-MA"/>
        </w:rPr>
        <w:t>2022</w:t>
      </w:r>
      <w:r w:rsidRPr="00BD4B00">
        <w:rPr>
          <w:rFonts w:asciiTheme="majorBidi" w:hAnsiTheme="majorBidi" w:cstheme="majorBidi"/>
          <w:rtl/>
          <w:lang w:bidi="ar-MA"/>
        </w:rPr>
        <w:t xml:space="preserve">،  صرحت </w:t>
      </w:r>
      <w:r w:rsidR="005A4E14" w:rsidRPr="00BD4B00">
        <w:rPr>
          <w:rFonts w:asciiTheme="majorBidi" w:hAnsiTheme="majorBidi" w:cstheme="majorBidi"/>
          <w:rtl/>
          <w:lang w:bidi="ar-MA"/>
        </w:rPr>
        <w:t xml:space="preserve">36,7 </w:t>
      </w:r>
      <w:r w:rsidRPr="00BD4B00">
        <w:rPr>
          <w:rFonts w:asciiTheme="majorBidi" w:hAnsiTheme="majorBidi" w:cstheme="majorBidi"/>
          <w:rtl/>
          <w:lang w:bidi="ar-MA"/>
        </w:rPr>
        <w:t xml:space="preserve"> </w:t>
      </w:r>
      <w:r w:rsidRPr="00BD4B00">
        <w:rPr>
          <w:rFonts w:asciiTheme="majorBidi" w:hAnsiTheme="majorBidi" w:cstheme="majorBidi"/>
          <w:lang w:bidi="ar-MA"/>
        </w:rPr>
        <w:t>%</w:t>
      </w:r>
      <w:r w:rsidRPr="00BD4B00">
        <w:rPr>
          <w:rFonts w:asciiTheme="majorBidi" w:hAnsiTheme="majorBidi" w:cstheme="majorBidi"/>
          <w:rtl/>
          <w:lang w:bidi="ar-MA"/>
        </w:rPr>
        <w:t xml:space="preserve"> من الأسر أن وضعية حقوق الإنسان بالمغرب قد </w:t>
      </w:r>
      <w:r w:rsidR="009A21E5" w:rsidRPr="00BD4B00">
        <w:rPr>
          <w:rFonts w:asciiTheme="majorBidi" w:hAnsiTheme="majorBidi" w:cstheme="majorBidi"/>
          <w:sz w:val="28"/>
          <w:szCs w:val="28"/>
          <w:rtl/>
          <w:lang w:bidi="ar-MA"/>
        </w:rPr>
        <w:t>ت</w:t>
      </w:r>
      <w:r w:rsidR="00C15E59" w:rsidRPr="00BD4B00">
        <w:rPr>
          <w:rFonts w:asciiTheme="majorBidi" w:hAnsiTheme="majorBidi" w:cstheme="majorBidi"/>
          <w:sz w:val="28"/>
          <w:szCs w:val="28"/>
          <w:rtl/>
          <w:lang w:bidi="ar-MA"/>
        </w:rPr>
        <w:t xml:space="preserve">حسنت </w:t>
      </w:r>
      <w:r w:rsidR="009A21E5" w:rsidRPr="00BD4B00">
        <w:rPr>
          <w:rFonts w:asciiTheme="majorBidi" w:hAnsiTheme="majorBidi" w:cstheme="majorBidi"/>
          <w:rtl/>
          <w:lang w:bidi="ar-MA"/>
        </w:rPr>
        <w:t xml:space="preserve">مقابل </w:t>
      </w:r>
      <w:r w:rsidR="00C15E59" w:rsidRPr="00BD4B00">
        <w:rPr>
          <w:rFonts w:asciiTheme="majorBidi" w:hAnsiTheme="majorBidi" w:cstheme="majorBidi"/>
          <w:rtl/>
          <w:lang w:bidi="ar-MA"/>
        </w:rPr>
        <w:t xml:space="preserve">19,6 </w:t>
      </w:r>
      <w:r w:rsidR="00C15E59" w:rsidRPr="00BD4B00">
        <w:rPr>
          <w:rFonts w:asciiTheme="majorBidi" w:hAnsiTheme="majorBidi" w:cstheme="majorBidi"/>
          <w:lang w:bidi="ar-MA"/>
        </w:rPr>
        <w:t>%</w:t>
      </w:r>
      <w:r w:rsidR="00C15E59" w:rsidRPr="00BD4B00">
        <w:rPr>
          <w:rFonts w:asciiTheme="majorBidi" w:hAnsiTheme="majorBidi" w:cstheme="majorBidi"/>
          <w:rtl/>
          <w:lang w:bidi="ar-MA"/>
        </w:rPr>
        <w:t xml:space="preserve"> </w:t>
      </w:r>
      <w:r w:rsidR="009A21E5" w:rsidRPr="00BD4B00">
        <w:rPr>
          <w:rFonts w:asciiTheme="majorBidi" w:hAnsiTheme="majorBidi" w:cstheme="majorBidi"/>
          <w:rtl/>
          <w:lang w:bidi="ar-MA"/>
        </w:rPr>
        <w:t xml:space="preserve">المسجلة </w:t>
      </w:r>
      <w:r w:rsidR="008026A4" w:rsidRPr="00BD4B00">
        <w:rPr>
          <w:rFonts w:asciiTheme="majorBidi" w:hAnsiTheme="majorBidi" w:cstheme="majorBidi"/>
          <w:rtl/>
          <w:lang w:bidi="ar-MA"/>
        </w:rPr>
        <w:t>سنة من قبل</w:t>
      </w:r>
      <w:r w:rsidR="009A21E5" w:rsidRPr="00BD4B00">
        <w:rPr>
          <w:rFonts w:asciiTheme="majorBidi" w:hAnsiTheme="majorBidi" w:cstheme="majorBidi"/>
          <w:rtl/>
          <w:lang w:bidi="ar-MA"/>
        </w:rPr>
        <w:t>.</w:t>
      </w:r>
      <w:r w:rsidR="009A21E5" w:rsidRPr="00BD4B00">
        <w:rPr>
          <w:rFonts w:asciiTheme="majorBidi" w:hAnsiTheme="majorBidi" w:cstheme="majorBidi"/>
          <w:lang w:bidi="ar-MA"/>
        </w:rPr>
        <w:t xml:space="preserve"> </w:t>
      </w:r>
      <w:r w:rsidRPr="00BD4B00">
        <w:rPr>
          <w:rFonts w:asciiTheme="majorBidi" w:hAnsiTheme="majorBidi" w:cstheme="majorBidi"/>
          <w:rtl/>
          <w:lang w:bidi="ar-MA"/>
        </w:rPr>
        <w:t xml:space="preserve">و قد استقر رصيد هذا المؤشر في </w:t>
      </w:r>
      <w:r w:rsidR="00C15E59" w:rsidRPr="00BD4B00">
        <w:rPr>
          <w:rFonts w:asciiTheme="majorBidi" w:hAnsiTheme="majorBidi" w:cstheme="majorBidi"/>
          <w:rtl/>
          <w:lang w:bidi="ar-MA"/>
        </w:rPr>
        <w:t>17,1</w:t>
      </w:r>
      <w:r w:rsidR="00211E41" w:rsidRPr="00BD4B00">
        <w:rPr>
          <w:rFonts w:asciiTheme="majorBidi" w:hAnsiTheme="majorBidi" w:cstheme="majorBidi"/>
          <w:rtl/>
          <w:lang w:bidi="ar-MA"/>
        </w:rPr>
        <w:t xml:space="preserve"> </w:t>
      </w:r>
      <w:r w:rsidR="00C15E59" w:rsidRPr="00BD4B00">
        <w:rPr>
          <w:rFonts w:asciiTheme="majorBidi" w:hAnsiTheme="majorBidi" w:cstheme="majorBidi"/>
          <w:rtl/>
          <w:lang w:bidi="ar-MA"/>
        </w:rPr>
        <w:t xml:space="preserve">نقطة عوض 24,1 نقطة </w:t>
      </w:r>
      <w:r w:rsidR="00C15E59" w:rsidRPr="00BD4B00">
        <w:rPr>
          <w:rFonts w:asciiTheme="majorBidi" w:hAnsiTheme="majorBidi" w:cstheme="majorBidi"/>
          <w:lang w:bidi="ar-MA"/>
        </w:rPr>
        <w:t xml:space="preserve"> </w:t>
      </w:r>
      <w:r w:rsidRPr="00BD4B00">
        <w:rPr>
          <w:rFonts w:asciiTheme="majorBidi" w:hAnsiTheme="majorBidi" w:cstheme="majorBidi"/>
          <w:rtl/>
          <w:lang w:bidi="ar-MA"/>
        </w:rPr>
        <w:t>خلال</w:t>
      </w:r>
      <w:r w:rsidR="00C15E59" w:rsidRPr="00BD4B00">
        <w:rPr>
          <w:rFonts w:asciiTheme="majorBidi" w:hAnsiTheme="majorBidi" w:cstheme="majorBidi"/>
          <w:rtl/>
          <w:lang w:bidi="ar-MA"/>
        </w:rPr>
        <w:t xml:space="preserve"> سنة</w:t>
      </w:r>
      <w:r w:rsidRPr="00BD4B00">
        <w:rPr>
          <w:rFonts w:asciiTheme="majorBidi" w:hAnsiTheme="majorBidi" w:cstheme="majorBidi"/>
          <w:rtl/>
          <w:lang w:bidi="ar-MA"/>
        </w:rPr>
        <w:t xml:space="preserve"> </w:t>
      </w:r>
      <w:r w:rsidR="00C05B4E" w:rsidRPr="00BD4B00">
        <w:rPr>
          <w:rFonts w:asciiTheme="majorBidi" w:hAnsiTheme="majorBidi" w:cstheme="majorBidi"/>
          <w:rtl/>
          <w:lang w:bidi="ar-MA"/>
        </w:rPr>
        <w:t>2021</w:t>
      </w:r>
      <w:r w:rsidR="00C15E59" w:rsidRPr="00BD4B00">
        <w:rPr>
          <w:rFonts w:asciiTheme="majorBidi" w:hAnsiTheme="majorBidi" w:cstheme="majorBidi"/>
          <w:rtl/>
          <w:lang w:bidi="ar-MA"/>
        </w:rPr>
        <w:t xml:space="preserve"> </w:t>
      </w:r>
      <w:r w:rsidRPr="00BD4B00">
        <w:rPr>
          <w:rFonts w:asciiTheme="majorBidi" w:hAnsiTheme="majorBidi" w:cstheme="majorBidi"/>
          <w:rtl/>
          <w:lang w:bidi="ar-MA"/>
        </w:rPr>
        <w:t>.</w:t>
      </w:r>
    </w:p>
    <w:p w:rsidR="00C15E59" w:rsidRPr="00BD4B00" w:rsidRDefault="00C15E59" w:rsidP="00BD4B00">
      <w:pPr>
        <w:pStyle w:val="Paragraphedeliste"/>
        <w:widowControl/>
        <w:autoSpaceDE/>
        <w:autoSpaceDN/>
        <w:bidi/>
        <w:adjustRightInd/>
        <w:spacing w:after="200" w:line="360" w:lineRule="auto"/>
        <w:ind w:left="425"/>
        <w:jc w:val="both"/>
        <w:rPr>
          <w:rFonts w:asciiTheme="majorBidi" w:hAnsiTheme="majorBidi" w:cstheme="majorBidi"/>
          <w:rtl/>
          <w:lang w:bidi="ar-MA"/>
        </w:rPr>
      </w:pPr>
    </w:p>
    <w:p w:rsidR="00A23ACB" w:rsidRPr="00BD4B00" w:rsidRDefault="00C866CD" w:rsidP="009F03FA">
      <w:pPr>
        <w:pStyle w:val="Paragraphedeliste"/>
        <w:widowControl/>
        <w:numPr>
          <w:ilvl w:val="0"/>
          <w:numId w:val="3"/>
        </w:numPr>
        <w:autoSpaceDE/>
        <w:autoSpaceDN/>
        <w:bidi/>
        <w:adjustRightInd/>
        <w:spacing w:after="200" w:line="360" w:lineRule="auto"/>
        <w:ind w:hanging="77"/>
        <w:rPr>
          <w:rFonts w:asciiTheme="majorBidi" w:hAnsiTheme="majorBidi" w:cstheme="majorBidi"/>
          <w:b/>
          <w:bCs/>
          <w:sz w:val="28"/>
          <w:szCs w:val="28"/>
          <w:lang w:bidi="ar-MA"/>
        </w:rPr>
      </w:pPr>
      <w:r w:rsidRPr="00BD4B00">
        <w:rPr>
          <w:rFonts w:asciiTheme="majorBidi" w:hAnsiTheme="majorBidi" w:cstheme="majorBidi"/>
          <w:b/>
          <w:bCs/>
          <w:sz w:val="30"/>
          <w:szCs w:val="30"/>
          <w:rtl/>
          <w:lang w:bidi="ar-MA"/>
        </w:rPr>
        <w:t xml:space="preserve">خدمات </w:t>
      </w:r>
      <w:r w:rsidRPr="00BD4B00">
        <w:rPr>
          <w:rFonts w:asciiTheme="majorBidi" w:hAnsiTheme="majorBidi" w:cstheme="majorBidi"/>
          <w:b/>
          <w:bCs/>
          <w:sz w:val="28"/>
          <w:szCs w:val="28"/>
          <w:rtl/>
          <w:lang w:bidi="ar-MA"/>
        </w:rPr>
        <w:t xml:space="preserve">التعليم: </w:t>
      </w:r>
      <w:r w:rsidR="008026A4" w:rsidRPr="00BD4B00">
        <w:rPr>
          <w:rFonts w:asciiTheme="majorBidi" w:hAnsiTheme="majorBidi" w:cstheme="majorBidi"/>
          <w:b/>
          <w:bCs/>
          <w:sz w:val="28"/>
          <w:szCs w:val="28"/>
          <w:rtl/>
          <w:lang w:bidi="ar-MA"/>
        </w:rPr>
        <w:t>تصور سلبي</w:t>
      </w:r>
      <w:r w:rsidR="001B44DF" w:rsidRPr="00BD4B00">
        <w:rPr>
          <w:rFonts w:asciiTheme="majorBidi" w:hAnsiTheme="majorBidi" w:cstheme="majorBidi"/>
          <w:b/>
          <w:bCs/>
          <w:sz w:val="28"/>
          <w:szCs w:val="28"/>
          <w:rtl/>
          <w:lang w:bidi="ar-MA"/>
        </w:rPr>
        <w:t xml:space="preserve"> </w:t>
      </w:r>
    </w:p>
    <w:p w:rsidR="00CF15A7" w:rsidRPr="00BD4B00" w:rsidRDefault="00C866CD" w:rsidP="00BD4B00">
      <w:pPr>
        <w:pStyle w:val="Paragraphedeliste"/>
        <w:widowControl/>
        <w:autoSpaceDE/>
        <w:autoSpaceDN/>
        <w:bidi/>
        <w:adjustRightInd/>
        <w:spacing w:after="200" w:line="360" w:lineRule="auto"/>
        <w:ind w:left="425"/>
        <w:jc w:val="both"/>
        <w:rPr>
          <w:rFonts w:asciiTheme="majorBidi" w:hAnsiTheme="majorBidi" w:cstheme="majorBidi"/>
          <w:rtl/>
          <w:lang w:bidi="ar-MA"/>
        </w:rPr>
      </w:pPr>
      <w:r w:rsidRPr="00BD4B00">
        <w:rPr>
          <w:rFonts w:asciiTheme="majorBidi" w:hAnsiTheme="majorBidi" w:cstheme="majorBidi"/>
          <w:rtl/>
          <w:lang w:bidi="ar-MA"/>
        </w:rPr>
        <w:t xml:space="preserve">خلال سنة </w:t>
      </w:r>
      <w:r w:rsidR="00C05B4E" w:rsidRPr="00BD4B00">
        <w:rPr>
          <w:rFonts w:asciiTheme="majorBidi" w:hAnsiTheme="majorBidi" w:cstheme="majorBidi"/>
          <w:rtl/>
          <w:lang w:bidi="ar-MA"/>
        </w:rPr>
        <w:t>2022</w:t>
      </w:r>
      <w:r w:rsidRPr="00BD4B00">
        <w:rPr>
          <w:rFonts w:asciiTheme="majorBidi" w:hAnsiTheme="majorBidi" w:cstheme="majorBidi"/>
          <w:rtl/>
          <w:lang w:bidi="ar-MA"/>
        </w:rPr>
        <w:t xml:space="preserve">، </w:t>
      </w:r>
      <w:r w:rsidR="009C0EA1" w:rsidRPr="00BD4B00">
        <w:rPr>
          <w:rFonts w:asciiTheme="majorBidi" w:hAnsiTheme="majorBidi" w:cstheme="majorBidi"/>
          <w:rtl/>
          <w:lang w:bidi="ar-MA"/>
        </w:rPr>
        <w:t xml:space="preserve">أقرت </w:t>
      </w:r>
      <w:r w:rsidR="005969AE" w:rsidRPr="00BD4B00">
        <w:rPr>
          <w:rFonts w:asciiTheme="majorBidi" w:hAnsiTheme="majorBidi" w:cstheme="majorBidi"/>
          <w:lang w:bidi="ar-MA"/>
        </w:rPr>
        <w:t xml:space="preserve"> </w:t>
      </w:r>
      <w:r w:rsidRPr="00BD4B00">
        <w:rPr>
          <w:rFonts w:asciiTheme="majorBidi" w:hAnsiTheme="majorBidi" w:cstheme="majorBidi"/>
          <w:lang w:bidi="ar-MA"/>
        </w:rPr>
        <w:t xml:space="preserve">% </w:t>
      </w:r>
      <w:r w:rsidR="005969AE" w:rsidRPr="00BD4B00">
        <w:rPr>
          <w:rFonts w:asciiTheme="majorBidi" w:hAnsiTheme="majorBidi" w:cstheme="majorBidi"/>
          <w:lang w:bidi="ar-MA"/>
        </w:rPr>
        <w:t>43,7</w:t>
      </w:r>
      <w:r w:rsidRPr="00BD4B00">
        <w:rPr>
          <w:rFonts w:asciiTheme="majorBidi" w:hAnsiTheme="majorBidi" w:cstheme="majorBidi"/>
          <w:rtl/>
          <w:lang w:bidi="ar-MA"/>
        </w:rPr>
        <w:t xml:space="preserve">مقابل </w:t>
      </w:r>
      <w:r w:rsidR="005969AE" w:rsidRPr="00BD4B00">
        <w:rPr>
          <w:rFonts w:asciiTheme="majorBidi" w:hAnsiTheme="majorBidi" w:cstheme="majorBidi"/>
          <w:lang w:bidi="ar-MA"/>
        </w:rPr>
        <w:t xml:space="preserve"> %30,7 </w:t>
      </w:r>
      <w:r w:rsidRPr="00BD4B00">
        <w:rPr>
          <w:rFonts w:asciiTheme="majorBidi" w:hAnsiTheme="majorBidi" w:cstheme="majorBidi"/>
          <w:rtl/>
          <w:lang w:bidi="ar-MA"/>
        </w:rPr>
        <w:t>من الأسر بتدهور جودة خدمات التعليم. و</w:t>
      </w:r>
      <w:r w:rsidR="009C0EA1" w:rsidRPr="00BD4B00">
        <w:rPr>
          <w:rFonts w:asciiTheme="majorBidi" w:hAnsiTheme="majorBidi" w:cstheme="majorBidi"/>
          <w:rtl/>
          <w:lang w:bidi="ar-MA"/>
        </w:rPr>
        <w:t>هكذا</w:t>
      </w:r>
      <w:r w:rsidR="009C0EA1" w:rsidRPr="00BD4B00">
        <w:rPr>
          <w:rFonts w:asciiTheme="majorBidi" w:hAnsiTheme="majorBidi" w:cstheme="majorBidi"/>
          <w:lang w:bidi="ar-MA"/>
        </w:rPr>
        <w:t xml:space="preserve"> </w:t>
      </w:r>
      <w:r w:rsidR="009C0EA1" w:rsidRPr="00BD4B00">
        <w:rPr>
          <w:rFonts w:asciiTheme="majorBidi" w:hAnsiTheme="majorBidi" w:cstheme="majorBidi"/>
          <w:rtl/>
          <w:lang w:bidi="ar-MA"/>
        </w:rPr>
        <w:t xml:space="preserve">انتقل </w:t>
      </w:r>
      <w:r w:rsidRPr="00BD4B00">
        <w:rPr>
          <w:rFonts w:asciiTheme="majorBidi" w:hAnsiTheme="majorBidi" w:cstheme="majorBidi"/>
          <w:rtl/>
          <w:lang w:bidi="ar-MA"/>
        </w:rPr>
        <w:t>رصيد هذا المؤشر</w:t>
      </w:r>
      <w:r w:rsidR="009C0EA1" w:rsidRPr="00BD4B00">
        <w:rPr>
          <w:rFonts w:asciiTheme="majorBidi" w:hAnsiTheme="majorBidi" w:cstheme="majorBidi"/>
          <w:rtl/>
          <w:lang w:bidi="ar-MA"/>
        </w:rPr>
        <w:t xml:space="preserve"> من</w:t>
      </w:r>
      <w:r w:rsidRPr="00BD4B00">
        <w:rPr>
          <w:rFonts w:asciiTheme="majorBidi" w:hAnsiTheme="majorBidi" w:cstheme="majorBidi"/>
          <w:rtl/>
          <w:lang w:bidi="ar-MA"/>
        </w:rPr>
        <w:t xml:space="preserve"> ناقص </w:t>
      </w:r>
      <w:r w:rsidR="00321843" w:rsidRPr="00BD4B00">
        <w:rPr>
          <w:rFonts w:asciiTheme="majorBidi" w:hAnsiTheme="majorBidi" w:cstheme="majorBidi"/>
          <w:rtl/>
          <w:lang w:bidi="ar-MA"/>
        </w:rPr>
        <w:t>35,3</w:t>
      </w:r>
      <w:r w:rsidR="0065122D" w:rsidRPr="00BD4B00">
        <w:rPr>
          <w:rFonts w:asciiTheme="majorBidi" w:hAnsiTheme="majorBidi" w:cstheme="majorBidi"/>
          <w:rtl/>
          <w:lang w:bidi="ar-MA"/>
        </w:rPr>
        <w:t xml:space="preserve"> </w:t>
      </w:r>
      <w:r w:rsidRPr="00BD4B00">
        <w:rPr>
          <w:rFonts w:asciiTheme="majorBidi" w:hAnsiTheme="majorBidi" w:cstheme="majorBidi"/>
          <w:rtl/>
          <w:lang w:bidi="ar-MA"/>
        </w:rPr>
        <w:t xml:space="preserve">نقطة سنة </w:t>
      </w:r>
      <w:r w:rsidR="00C05B4E" w:rsidRPr="00BD4B00">
        <w:rPr>
          <w:rFonts w:asciiTheme="majorBidi" w:hAnsiTheme="majorBidi" w:cstheme="majorBidi"/>
          <w:rtl/>
          <w:lang w:bidi="ar-MA"/>
        </w:rPr>
        <w:t>2021</w:t>
      </w:r>
      <w:r w:rsidRPr="00BD4B00">
        <w:rPr>
          <w:rFonts w:asciiTheme="majorBidi" w:hAnsiTheme="majorBidi" w:cstheme="majorBidi"/>
          <w:rtl/>
          <w:lang w:bidi="ar-MA"/>
        </w:rPr>
        <w:t xml:space="preserve"> </w:t>
      </w:r>
      <w:r w:rsidR="009C0EA1" w:rsidRPr="00BD4B00">
        <w:rPr>
          <w:rFonts w:asciiTheme="majorBidi" w:hAnsiTheme="majorBidi" w:cstheme="majorBidi"/>
          <w:rtl/>
          <w:lang w:bidi="ar-MA"/>
        </w:rPr>
        <w:t xml:space="preserve">إلى </w:t>
      </w:r>
      <w:r w:rsidRPr="00BD4B00">
        <w:rPr>
          <w:rFonts w:asciiTheme="majorBidi" w:hAnsiTheme="majorBidi" w:cstheme="majorBidi"/>
          <w:rtl/>
          <w:lang w:bidi="ar-MA"/>
        </w:rPr>
        <w:t xml:space="preserve">ناقص </w:t>
      </w:r>
      <w:r w:rsidR="00321843" w:rsidRPr="00BD4B00">
        <w:rPr>
          <w:rFonts w:asciiTheme="majorBidi" w:hAnsiTheme="majorBidi" w:cstheme="majorBidi"/>
          <w:rtl/>
          <w:lang w:bidi="ar-MA"/>
        </w:rPr>
        <w:t>13,0</w:t>
      </w:r>
      <w:r w:rsidRPr="00BD4B00">
        <w:rPr>
          <w:rFonts w:asciiTheme="majorBidi" w:hAnsiTheme="majorBidi" w:cstheme="majorBidi"/>
          <w:rtl/>
          <w:lang w:bidi="ar-MA"/>
        </w:rPr>
        <w:t xml:space="preserve"> نقطة سنة </w:t>
      </w:r>
      <w:r w:rsidR="00C05B4E" w:rsidRPr="00BD4B00">
        <w:rPr>
          <w:rFonts w:asciiTheme="majorBidi" w:hAnsiTheme="majorBidi" w:cstheme="majorBidi"/>
          <w:rtl/>
          <w:lang w:bidi="ar-MA"/>
        </w:rPr>
        <w:t>2022</w:t>
      </w:r>
      <w:r w:rsidRPr="00BD4B00">
        <w:rPr>
          <w:rFonts w:asciiTheme="majorBidi" w:hAnsiTheme="majorBidi" w:cstheme="majorBidi"/>
          <w:rtl/>
          <w:lang w:bidi="ar-MA"/>
        </w:rPr>
        <w:t>.</w:t>
      </w:r>
    </w:p>
    <w:p w:rsidR="00A23ACB" w:rsidRPr="00BD4B00" w:rsidRDefault="00A23ACB" w:rsidP="00BD4B00">
      <w:pPr>
        <w:pStyle w:val="Paragraphedeliste"/>
        <w:widowControl/>
        <w:autoSpaceDE/>
        <w:autoSpaceDN/>
        <w:bidi/>
        <w:adjustRightInd/>
        <w:spacing w:after="200" w:line="360" w:lineRule="auto"/>
        <w:ind w:left="425"/>
        <w:jc w:val="both"/>
        <w:rPr>
          <w:rFonts w:asciiTheme="majorBidi" w:hAnsiTheme="majorBidi" w:cstheme="majorBidi"/>
          <w:rtl/>
          <w:lang w:bidi="ar-MA"/>
        </w:rPr>
      </w:pPr>
    </w:p>
    <w:p w:rsidR="00A23ACB" w:rsidRPr="00BD4B00" w:rsidRDefault="00A23ACB" w:rsidP="00BD4B00">
      <w:pPr>
        <w:pStyle w:val="Paragraphedeliste"/>
        <w:widowControl/>
        <w:numPr>
          <w:ilvl w:val="0"/>
          <w:numId w:val="3"/>
        </w:numPr>
        <w:autoSpaceDE/>
        <w:bidi/>
        <w:adjustRightInd/>
        <w:spacing w:line="360" w:lineRule="auto"/>
        <w:ind w:left="425" w:firstLine="0"/>
        <w:jc w:val="both"/>
        <w:rPr>
          <w:rFonts w:asciiTheme="majorBidi" w:hAnsiTheme="majorBidi" w:cstheme="majorBidi"/>
          <w:b/>
          <w:bCs/>
          <w:sz w:val="30"/>
          <w:szCs w:val="30"/>
          <w:lang w:bidi="ar-MA"/>
        </w:rPr>
      </w:pPr>
      <w:r w:rsidRPr="00BD4B00">
        <w:rPr>
          <w:rFonts w:asciiTheme="majorBidi" w:hAnsiTheme="majorBidi" w:cstheme="majorBidi"/>
          <w:b/>
          <w:bCs/>
          <w:sz w:val="30"/>
          <w:szCs w:val="30"/>
          <w:rtl/>
          <w:lang w:bidi="ar-DZ"/>
        </w:rPr>
        <w:t xml:space="preserve">استمرار </w:t>
      </w:r>
      <w:r w:rsidR="000E68FD" w:rsidRPr="00BD4B00">
        <w:rPr>
          <w:rFonts w:asciiTheme="majorBidi" w:hAnsiTheme="majorBidi" w:cstheme="majorBidi"/>
          <w:b/>
          <w:bCs/>
          <w:sz w:val="30"/>
          <w:szCs w:val="30"/>
          <w:rtl/>
          <w:lang w:bidi="ar-MA"/>
        </w:rPr>
        <w:t xml:space="preserve">إحساس الأسر </w:t>
      </w:r>
      <w:r w:rsidR="007750BE" w:rsidRPr="00BD4B00">
        <w:rPr>
          <w:rFonts w:asciiTheme="majorBidi" w:hAnsiTheme="majorBidi" w:cstheme="majorBidi"/>
          <w:b/>
          <w:bCs/>
          <w:sz w:val="30"/>
          <w:szCs w:val="30"/>
          <w:rtl/>
          <w:lang w:bidi="ar-MA"/>
        </w:rPr>
        <w:t>بتد</w:t>
      </w:r>
      <w:r w:rsidR="007750BE" w:rsidRPr="00BD4B00">
        <w:rPr>
          <w:rFonts w:asciiTheme="majorBidi" w:hAnsiTheme="majorBidi" w:cstheme="majorBidi"/>
          <w:b/>
          <w:bCs/>
          <w:sz w:val="28"/>
          <w:szCs w:val="28"/>
          <w:rtl/>
          <w:lang w:bidi="ar-MA"/>
        </w:rPr>
        <w:t>هور</w:t>
      </w:r>
      <w:r w:rsidR="000E68FD" w:rsidRPr="00BD4B00">
        <w:rPr>
          <w:rFonts w:asciiTheme="majorBidi" w:hAnsiTheme="majorBidi" w:cstheme="majorBidi"/>
          <w:b/>
          <w:bCs/>
          <w:sz w:val="30"/>
          <w:szCs w:val="30"/>
          <w:rtl/>
          <w:lang w:bidi="ar-MA"/>
        </w:rPr>
        <w:t xml:space="preserve"> خدمات الصحة</w:t>
      </w:r>
    </w:p>
    <w:p w:rsidR="00A23ACB" w:rsidRPr="00BD4B00" w:rsidRDefault="00A23ACB" w:rsidP="00BD4B00">
      <w:pPr>
        <w:widowControl/>
        <w:autoSpaceDE/>
        <w:bidi/>
        <w:adjustRightInd/>
        <w:spacing w:after="200" w:line="360" w:lineRule="auto"/>
        <w:ind w:left="425"/>
        <w:jc w:val="both"/>
        <w:rPr>
          <w:rFonts w:asciiTheme="majorBidi" w:hAnsiTheme="majorBidi" w:cstheme="majorBidi"/>
          <w:lang w:val="fr-MA" w:bidi="ar-MA"/>
        </w:rPr>
      </w:pPr>
      <w:r w:rsidRPr="00BD4B00">
        <w:rPr>
          <w:rFonts w:asciiTheme="majorBidi" w:hAnsiTheme="majorBidi" w:cstheme="majorBidi"/>
          <w:rtl/>
          <w:lang w:bidi="ar-MA"/>
        </w:rPr>
        <w:t xml:space="preserve">خلال سنة 2022، صرحت </w:t>
      </w:r>
      <w:r w:rsidRPr="00BD4B00">
        <w:rPr>
          <w:rFonts w:asciiTheme="majorBidi" w:hAnsiTheme="majorBidi" w:cstheme="majorBidi"/>
          <w:lang w:bidi="ar-MA"/>
        </w:rPr>
        <w:t>% 60</w:t>
      </w:r>
      <w:r w:rsidR="007750BE" w:rsidRPr="00BD4B00">
        <w:rPr>
          <w:rFonts w:asciiTheme="majorBidi" w:hAnsiTheme="majorBidi" w:cstheme="majorBidi"/>
          <w:lang w:bidi="ar-MA"/>
        </w:rPr>
        <w:t>,8</w:t>
      </w:r>
      <w:r w:rsidR="008B0B1F" w:rsidRPr="00BD4B00">
        <w:rPr>
          <w:rFonts w:asciiTheme="majorBidi" w:hAnsiTheme="majorBidi" w:cstheme="majorBidi"/>
          <w:rtl/>
          <w:lang w:bidi="ar-MA"/>
        </w:rPr>
        <w:t xml:space="preserve"> </w:t>
      </w:r>
      <w:r w:rsidR="001E64C9" w:rsidRPr="00BD4B00">
        <w:rPr>
          <w:rFonts w:asciiTheme="majorBidi" w:hAnsiTheme="majorBidi" w:cstheme="majorBidi"/>
          <w:rtl/>
          <w:lang w:bidi="ar-MA"/>
        </w:rPr>
        <w:t>من الأسر أن خدمات الصحة قد ت</w:t>
      </w:r>
      <w:r w:rsidR="001E64C9" w:rsidRPr="00BD4B00">
        <w:rPr>
          <w:rFonts w:asciiTheme="majorBidi" w:hAnsiTheme="majorBidi" w:cstheme="majorBidi"/>
          <w:rtl/>
          <w:lang w:bidi="ar-DZ"/>
        </w:rPr>
        <w:t>دهورت فيما رأت</w:t>
      </w:r>
      <w:r w:rsidR="007750BE" w:rsidRPr="00BD4B00">
        <w:rPr>
          <w:rFonts w:asciiTheme="majorBidi" w:hAnsiTheme="majorBidi" w:cstheme="majorBidi"/>
          <w:lang w:bidi="ar-MA"/>
        </w:rPr>
        <w:t xml:space="preserve">%12,6  </w:t>
      </w:r>
      <w:r w:rsidR="009B00E2" w:rsidRPr="00BD4B00">
        <w:rPr>
          <w:rFonts w:asciiTheme="majorBidi" w:hAnsiTheme="majorBidi" w:cstheme="majorBidi"/>
          <w:rtl/>
          <w:lang w:bidi="ar-MA"/>
        </w:rPr>
        <w:t xml:space="preserve"> </w:t>
      </w:r>
      <w:r w:rsidR="001E64C9" w:rsidRPr="00BD4B00">
        <w:rPr>
          <w:rFonts w:asciiTheme="majorBidi" w:hAnsiTheme="majorBidi" w:cstheme="majorBidi"/>
          <w:rtl/>
          <w:lang w:bidi="ar-MA"/>
        </w:rPr>
        <w:t xml:space="preserve">عكس ذلك. </w:t>
      </w:r>
      <w:r w:rsidR="008B0B1F" w:rsidRPr="00BD4B00">
        <w:rPr>
          <w:rFonts w:asciiTheme="majorBidi" w:hAnsiTheme="majorBidi" w:cstheme="majorBidi"/>
          <w:rtl/>
          <w:lang w:bidi="ar-MA"/>
        </w:rPr>
        <w:t xml:space="preserve">وقد بلغت هذه النسب </w:t>
      </w:r>
      <w:r w:rsidR="00002C87" w:rsidRPr="00BD4B00">
        <w:rPr>
          <w:rFonts w:asciiTheme="majorBidi" w:hAnsiTheme="majorBidi" w:cstheme="majorBidi"/>
          <w:rtl/>
          <w:lang w:bidi="ar-MA"/>
        </w:rPr>
        <w:t>61,0</w:t>
      </w:r>
      <w:r w:rsidR="008B0B1F" w:rsidRPr="00BD4B00">
        <w:rPr>
          <w:rFonts w:asciiTheme="majorBidi" w:hAnsiTheme="majorBidi" w:cstheme="majorBidi"/>
          <w:rtl/>
          <w:lang w:bidi="ar-MA"/>
        </w:rPr>
        <w:t xml:space="preserve"> </w:t>
      </w:r>
      <w:r w:rsidR="008B0B1F" w:rsidRPr="00BD4B00">
        <w:rPr>
          <w:rFonts w:asciiTheme="majorBidi" w:hAnsiTheme="majorBidi" w:cstheme="majorBidi"/>
          <w:lang w:bidi="ar-MA"/>
        </w:rPr>
        <w:t>%</w:t>
      </w:r>
      <w:r w:rsidR="008B0B1F" w:rsidRPr="00BD4B00">
        <w:rPr>
          <w:rFonts w:asciiTheme="majorBidi" w:hAnsiTheme="majorBidi" w:cstheme="majorBidi"/>
          <w:rtl/>
          <w:lang w:bidi="ar-MA"/>
        </w:rPr>
        <w:t xml:space="preserve"> و</w:t>
      </w:r>
      <w:r w:rsidR="00595835" w:rsidRPr="00BD4B00">
        <w:rPr>
          <w:rFonts w:asciiTheme="majorBidi" w:hAnsiTheme="majorBidi" w:cstheme="majorBidi"/>
          <w:lang w:bidi="ar-MA"/>
        </w:rPr>
        <w:t>%15,1</w:t>
      </w:r>
      <w:r w:rsidR="008B0B1F" w:rsidRPr="00BD4B00">
        <w:rPr>
          <w:rFonts w:asciiTheme="majorBidi" w:hAnsiTheme="majorBidi" w:cstheme="majorBidi"/>
          <w:rtl/>
          <w:lang w:bidi="ar-MA"/>
        </w:rPr>
        <w:t xml:space="preserve"> </w:t>
      </w:r>
      <w:r w:rsidR="007750BE" w:rsidRPr="00BD4B00">
        <w:rPr>
          <w:rFonts w:asciiTheme="majorBidi" w:hAnsiTheme="majorBidi" w:cstheme="majorBidi"/>
          <w:lang w:bidi="ar-MA"/>
        </w:rPr>
        <w:t xml:space="preserve"> </w:t>
      </w:r>
      <w:r w:rsidR="008B0B1F" w:rsidRPr="00BD4B00">
        <w:rPr>
          <w:rFonts w:asciiTheme="majorBidi" w:hAnsiTheme="majorBidi" w:cstheme="majorBidi"/>
          <w:rtl/>
          <w:lang w:bidi="ar-MA"/>
        </w:rPr>
        <w:t xml:space="preserve">على التوالي خلال سنة </w:t>
      </w:r>
      <w:r w:rsidR="00C05B4E" w:rsidRPr="00BD4B00">
        <w:rPr>
          <w:rFonts w:asciiTheme="majorBidi" w:hAnsiTheme="majorBidi" w:cstheme="majorBidi"/>
          <w:rtl/>
          <w:lang w:bidi="ar-MA"/>
        </w:rPr>
        <w:t>2021</w:t>
      </w:r>
      <w:r w:rsidR="008B0B1F" w:rsidRPr="00BD4B00">
        <w:rPr>
          <w:rFonts w:asciiTheme="majorBidi" w:hAnsiTheme="majorBidi" w:cstheme="majorBidi"/>
          <w:rtl/>
          <w:lang w:bidi="ar-MA"/>
        </w:rPr>
        <w:t xml:space="preserve"> . وهكذا، انتقل رصيد </w:t>
      </w:r>
      <w:r w:rsidR="00C866CD" w:rsidRPr="00BD4B00">
        <w:rPr>
          <w:rFonts w:asciiTheme="majorBidi" w:hAnsiTheme="majorBidi" w:cstheme="majorBidi"/>
          <w:rtl/>
          <w:lang w:bidi="ar-MA"/>
        </w:rPr>
        <w:t xml:space="preserve">هذا المؤشر </w:t>
      </w:r>
      <w:r w:rsidR="008B0B1F" w:rsidRPr="00BD4B00">
        <w:rPr>
          <w:rFonts w:asciiTheme="majorBidi" w:hAnsiTheme="majorBidi" w:cstheme="majorBidi"/>
          <w:rtl/>
          <w:lang w:bidi="ar-MA"/>
        </w:rPr>
        <w:t xml:space="preserve">إلى </w:t>
      </w:r>
      <w:r w:rsidR="00C866CD" w:rsidRPr="00BD4B00">
        <w:rPr>
          <w:rFonts w:asciiTheme="majorBidi" w:hAnsiTheme="majorBidi" w:cstheme="majorBidi"/>
          <w:rtl/>
          <w:lang w:bidi="ar-MA"/>
        </w:rPr>
        <w:t>ناقص</w:t>
      </w:r>
      <w:r w:rsidR="0065122D" w:rsidRPr="00BD4B00">
        <w:rPr>
          <w:rFonts w:asciiTheme="majorBidi" w:hAnsiTheme="majorBidi" w:cstheme="majorBidi"/>
          <w:rtl/>
          <w:lang w:bidi="ar-MA"/>
        </w:rPr>
        <w:t xml:space="preserve"> </w:t>
      </w:r>
      <w:r w:rsidR="00595835" w:rsidRPr="00BD4B00">
        <w:rPr>
          <w:rFonts w:asciiTheme="majorBidi" w:hAnsiTheme="majorBidi" w:cstheme="majorBidi"/>
          <w:lang w:bidi="ar-MA"/>
        </w:rPr>
        <w:t xml:space="preserve"> 48,2</w:t>
      </w:r>
      <w:r w:rsidR="008B0B1F" w:rsidRPr="00BD4B00">
        <w:rPr>
          <w:rFonts w:asciiTheme="majorBidi" w:hAnsiTheme="majorBidi" w:cstheme="majorBidi"/>
          <w:rtl/>
          <w:lang w:bidi="ar-MA"/>
        </w:rPr>
        <w:t>نقطة مقابل</w:t>
      </w:r>
      <w:r w:rsidR="008B0B1F" w:rsidRPr="00BD4B00">
        <w:rPr>
          <w:rFonts w:asciiTheme="majorBidi" w:hAnsiTheme="majorBidi" w:cstheme="majorBidi"/>
          <w:lang w:bidi="ar-MA"/>
        </w:rPr>
        <w:t xml:space="preserve"> </w:t>
      </w:r>
      <w:r w:rsidR="00C866CD" w:rsidRPr="00BD4B00">
        <w:rPr>
          <w:rFonts w:asciiTheme="majorBidi" w:hAnsiTheme="majorBidi" w:cstheme="majorBidi"/>
          <w:rtl/>
          <w:lang w:bidi="ar-MA"/>
        </w:rPr>
        <w:t>ناقص</w:t>
      </w:r>
      <w:r w:rsidR="0065122D" w:rsidRPr="00BD4B00">
        <w:rPr>
          <w:rFonts w:asciiTheme="majorBidi" w:hAnsiTheme="majorBidi" w:cstheme="majorBidi"/>
          <w:rtl/>
          <w:lang w:bidi="ar-MA"/>
        </w:rPr>
        <w:t xml:space="preserve"> </w:t>
      </w:r>
      <w:r w:rsidR="00595835" w:rsidRPr="00BD4B00">
        <w:rPr>
          <w:rFonts w:asciiTheme="majorBidi" w:hAnsiTheme="majorBidi" w:cstheme="majorBidi"/>
          <w:rtl/>
          <w:lang w:bidi="ar-MA"/>
        </w:rPr>
        <w:t xml:space="preserve">45,9 </w:t>
      </w:r>
      <w:r w:rsidR="0065122D" w:rsidRPr="00BD4B00">
        <w:rPr>
          <w:rFonts w:asciiTheme="majorBidi" w:hAnsiTheme="majorBidi" w:cstheme="majorBidi"/>
          <w:rtl/>
          <w:lang w:bidi="ar-MA"/>
        </w:rPr>
        <w:t xml:space="preserve"> </w:t>
      </w:r>
      <w:r w:rsidR="00C866CD" w:rsidRPr="00BD4B00">
        <w:rPr>
          <w:rFonts w:asciiTheme="majorBidi" w:hAnsiTheme="majorBidi" w:cstheme="majorBidi"/>
          <w:rtl/>
          <w:lang w:bidi="ar-MA"/>
        </w:rPr>
        <w:t xml:space="preserve">نقطة، </w:t>
      </w:r>
      <w:r w:rsidR="008B0B1F" w:rsidRPr="00BD4B00">
        <w:rPr>
          <w:rFonts w:asciiTheme="majorBidi" w:hAnsiTheme="majorBidi" w:cstheme="majorBidi"/>
          <w:rtl/>
          <w:lang w:bidi="ar-MA"/>
        </w:rPr>
        <w:t>المسجلة خلال سنة</w:t>
      </w:r>
      <w:r w:rsidR="00C866CD" w:rsidRPr="00BD4B00">
        <w:rPr>
          <w:rFonts w:asciiTheme="majorBidi" w:hAnsiTheme="majorBidi" w:cstheme="majorBidi"/>
          <w:rtl/>
          <w:lang w:bidi="ar-MA"/>
        </w:rPr>
        <w:t xml:space="preserve"> </w:t>
      </w:r>
      <w:r w:rsidR="00C05B4E" w:rsidRPr="00BD4B00">
        <w:rPr>
          <w:rFonts w:asciiTheme="majorBidi" w:hAnsiTheme="majorBidi" w:cstheme="majorBidi"/>
          <w:rtl/>
          <w:lang w:bidi="ar-MA"/>
        </w:rPr>
        <w:t>2021</w:t>
      </w:r>
      <w:r w:rsidR="00C866CD" w:rsidRPr="00BD4B00">
        <w:rPr>
          <w:rFonts w:asciiTheme="majorBidi" w:hAnsiTheme="majorBidi" w:cstheme="majorBidi"/>
          <w:rtl/>
          <w:lang w:bidi="ar-MA"/>
        </w:rPr>
        <w:t>.</w:t>
      </w:r>
    </w:p>
    <w:p w:rsidR="00C866CD" w:rsidRPr="00BD4B00" w:rsidRDefault="00C866CD" w:rsidP="00BD4B00">
      <w:pPr>
        <w:pStyle w:val="Paragraphedeliste"/>
        <w:widowControl/>
        <w:autoSpaceDE/>
        <w:autoSpaceDN/>
        <w:bidi/>
        <w:adjustRightInd/>
        <w:spacing w:line="360" w:lineRule="auto"/>
        <w:ind w:left="502"/>
        <w:jc w:val="both"/>
        <w:rPr>
          <w:rFonts w:asciiTheme="majorBidi" w:hAnsiTheme="majorBidi" w:cstheme="majorBidi"/>
          <w:sz w:val="32"/>
          <w:szCs w:val="32"/>
          <w:rtl/>
          <w:lang w:bidi="ar-MA"/>
        </w:rPr>
      </w:pPr>
      <w:r w:rsidRPr="00BD4B00">
        <w:rPr>
          <w:rFonts w:asciiTheme="majorBidi" w:hAnsiTheme="majorBidi" w:cstheme="majorBidi"/>
          <w:b/>
          <w:bCs/>
          <w:sz w:val="28"/>
          <w:szCs w:val="28"/>
          <w:rtl/>
          <w:lang w:bidi="ar-MA"/>
        </w:rPr>
        <w:t>تصور الأسر لتطور جودة بعض الخدمات العمومية ووضعية حقوق الإنسان والمحافظة على البيئة</w:t>
      </w:r>
    </w:p>
    <w:tbl>
      <w:tblPr>
        <w:tblW w:w="9267" w:type="dxa"/>
        <w:tblInd w:w="57" w:type="dxa"/>
        <w:tblCellMar>
          <w:left w:w="70" w:type="dxa"/>
          <w:right w:w="70" w:type="dxa"/>
        </w:tblCellMar>
        <w:tblLook w:val="04A0"/>
      </w:tblPr>
      <w:tblGrid>
        <w:gridCol w:w="934"/>
        <w:gridCol w:w="888"/>
        <w:gridCol w:w="1025"/>
        <w:gridCol w:w="888"/>
        <w:gridCol w:w="707"/>
        <w:gridCol w:w="677"/>
        <w:gridCol w:w="764"/>
        <w:gridCol w:w="677"/>
        <w:gridCol w:w="2707"/>
      </w:tblGrid>
      <w:tr w:rsidR="00F0190D" w:rsidRPr="00BD4B00" w:rsidTr="0003179C">
        <w:trPr>
          <w:trHeight w:val="582"/>
        </w:trPr>
        <w:tc>
          <w:tcPr>
            <w:tcW w:w="3735" w:type="dxa"/>
            <w:gridSpan w:val="4"/>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0190D" w:rsidRPr="00BD4B00" w:rsidRDefault="00C05B4E" w:rsidP="00BD4B00">
            <w:pPr>
              <w:widowControl/>
              <w:autoSpaceDE/>
              <w:autoSpaceDN/>
              <w:bidi/>
              <w:adjustRightInd/>
              <w:spacing w:line="360" w:lineRule="auto"/>
              <w:jc w:val="center"/>
              <w:rPr>
                <w:rFonts w:asciiTheme="majorBidi" w:hAnsiTheme="majorBidi" w:cstheme="majorBidi"/>
                <w:b/>
                <w:bCs/>
                <w:color w:val="000000"/>
                <w:lang w:val="fr-MA"/>
              </w:rPr>
            </w:pPr>
            <w:r w:rsidRPr="00BD4B00">
              <w:rPr>
                <w:rFonts w:asciiTheme="majorBidi" w:hAnsiTheme="majorBidi" w:cstheme="majorBidi"/>
                <w:b/>
                <w:bCs/>
                <w:color w:val="000000"/>
                <w:rtl/>
              </w:rPr>
              <w:t>2022</w:t>
            </w:r>
          </w:p>
        </w:tc>
        <w:tc>
          <w:tcPr>
            <w:tcW w:w="2825" w:type="dxa"/>
            <w:gridSpan w:val="4"/>
            <w:tcBorders>
              <w:top w:val="single" w:sz="4" w:space="0" w:color="auto"/>
              <w:left w:val="nil"/>
              <w:bottom w:val="single" w:sz="4" w:space="0" w:color="auto"/>
              <w:right w:val="single" w:sz="4" w:space="0" w:color="auto"/>
            </w:tcBorders>
            <w:shd w:val="clear" w:color="auto" w:fill="auto"/>
            <w:noWrap/>
            <w:vAlign w:val="center"/>
            <w:hideMark/>
          </w:tcPr>
          <w:p w:rsidR="00F0190D" w:rsidRPr="00BD4B00" w:rsidRDefault="00C05B4E" w:rsidP="00BD4B00">
            <w:pPr>
              <w:widowControl/>
              <w:autoSpaceDE/>
              <w:autoSpaceDN/>
              <w:bidi/>
              <w:adjustRightInd/>
              <w:spacing w:line="360" w:lineRule="auto"/>
              <w:jc w:val="center"/>
              <w:rPr>
                <w:rFonts w:asciiTheme="majorBidi" w:hAnsiTheme="majorBidi" w:cstheme="majorBidi"/>
                <w:b/>
                <w:bCs/>
                <w:color w:val="000000"/>
              </w:rPr>
            </w:pPr>
            <w:r w:rsidRPr="00BD4B00">
              <w:rPr>
                <w:rFonts w:asciiTheme="majorBidi" w:hAnsiTheme="majorBidi" w:cstheme="majorBidi"/>
                <w:b/>
                <w:bCs/>
                <w:color w:val="000000"/>
                <w:rtl/>
              </w:rPr>
              <w:t>2021</w:t>
            </w:r>
          </w:p>
        </w:tc>
        <w:tc>
          <w:tcPr>
            <w:tcW w:w="2707"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0190D" w:rsidRPr="00BD4B00" w:rsidRDefault="00F0190D" w:rsidP="00BD4B00">
            <w:pPr>
              <w:widowControl/>
              <w:autoSpaceDE/>
              <w:autoSpaceDN/>
              <w:bidi/>
              <w:adjustRightInd/>
              <w:spacing w:line="360" w:lineRule="auto"/>
              <w:jc w:val="center"/>
              <w:rPr>
                <w:rFonts w:asciiTheme="majorBidi" w:hAnsiTheme="majorBidi" w:cstheme="majorBidi"/>
                <w:b/>
                <w:bCs/>
                <w:color w:val="000000"/>
                <w:sz w:val="32"/>
                <w:szCs w:val="32"/>
              </w:rPr>
            </w:pPr>
            <w:r w:rsidRPr="00BD4B00">
              <w:rPr>
                <w:rFonts w:asciiTheme="majorBidi" w:hAnsiTheme="majorBidi" w:cstheme="majorBidi"/>
                <w:b/>
                <w:bCs/>
                <w:color w:val="000000"/>
                <w:sz w:val="32"/>
                <w:szCs w:val="32"/>
                <w:rtl/>
              </w:rPr>
              <w:t>المؤشر</w:t>
            </w:r>
          </w:p>
        </w:tc>
      </w:tr>
      <w:tr w:rsidR="00F0190D" w:rsidRPr="00BD4B00" w:rsidTr="0003179C">
        <w:trPr>
          <w:trHeight w:val="611"/>
        </w:trPr>
        <w:tc>
          <w:tcPr>
            <w:tcW w:w="934" w:type="dxa"/>
            <w:tcBorders>
              <w:top w:val="nil"/>
              <w:left w:val="single" w:sz="4" w:space="0" w:color="auto"/>
              <w:bottom w:val="single" w:sz="4" w:space="0" w:color="auto"/>
              <w:right w:val="single" w:sz="4" w:space="0" w:color="auto"/>
            </w:tcBorders>
            <w:shd w:val="clear" w:color="auto" w:fill="auto"/>
            <w:noWrap/>
            <w:vAlign w:val="center"/>
            <w:hideMark/>
          </w:tcPr>
          <w:p w:rsidR="00F0190D" w:rsidRPr="00BD4B00" w:rsidRDefault="00F0190D" w:rsidP="00BD4B00">
            <w:pPr>
              <w:widowControl/>
              <w:autoSpaceDE/>
              <w:autoSpaceDN/>
              <w:bidi/>
              <w:adjustRightInd/>
              <w:spacing w:line="360" w:lineRule="auto"/>
              <w:jc w:val="center"/>
              <w:rPr>
                <w:rFonts w:asciiTheme="majorBidi" w:hAnsiTheme="majorBidi" w:cstheme="majorBidi"/>
                <w:b/>
                <w:bCs/>
                <w:color w:val="000000"/>
              </w:rPr>
            </w:pPr>
            <w:r w:rsidRPr="00BD4B00">
              <w:rPr>
                <w:rFonts w:asciiTheme="majorBidi" w:hAnsiTheme="majorBidi" w:cstheme="majorBidi"/>
                <w:b/>
                <w:bCs/>
                <w:color w:val="000000"/>
                <w:rtl/>
              </w:rPr>
              <w:t>الرصيد</w:t>
            </w:r>
          </w:p>
        </w:tc>
        <w:tc>
          <w:tcPr>
            <w:tcW w:w="888" w:type="dxa"/>
            <w:tcBorders>
              <w:top w:val="nil"/>
              <w:left w:val="nil"/>
              <w:bottom w:val="single" w:sz="4" w:space="0" w:color="auto"/>
              <w:right w:val="single" w:sz="4" w:space="0" w:color="auto"/>
            </w:tcBorders>
            <w:shd w:val="clear" w:color="auto" w:fill="auto"/>
            <w:noWrap/>
            <w:vAlign w:val="center"/>
            <w:hideMark/>
          </w:tcPr>
          <w:p w:rsidR="00F0190D" w:rsidRPr="00BD4B00" w:rsidRDefault="00F0190D" w:rsidP="00BD4B00">
            <w:pPr>
              <w:widowControl/>
              <w:autoSpaceDE/>
              <w:autoSpaceDN/>
              <w:bidi/>
              <w:adjustRightInd/>
              <w:spacing w:line="360" w:lineRule="auto"/>
              <w:jc w:val="center"/>
              <w:rPr>
                <w:rFonts w:asciiTheme="majorBidi" w:hAnsiTheme="majorBidi" w:cstheme="majorBidi"/>
                <w:b/>
                <w:bCs/>
                <w:color w:val="000000"/>
              </w:rPr>
            </w:pPr>
            <w:r w:rsidRPr="00BD4B00">
              <w:rPr>
                <w:rFonts w:asciiTheme="majorBidi" w:hAnsiTheme="majorBidi" w:cstheme="majorBidi"/>
                <w:b/>
                <w:bCs/>
                <w:color w:val="000000"/>
                <w:rtl/>
              </w:rPr>
              <w:t>تدهور</w:t>
            </w:r>
          </w:p>
        </w:tc>
        <w:tc>
          <w:tcPr>
            <w:tcW w:w="1025" w:type="dxa"/>
            <w:tcBorders>
              <w:top w:val="nil"/>
              <w:left w:val="nil"/>
              <w:bottom w:val="single" w:sz="4" w:space="0" w:color="auto"/>
              <w:right w:val="single" w:sz="4" w:space="0" w:color="auto"/>
            </w:tcBorders>
            <w:shd w:val="clear" w:color="auto" w:fill="auto"/>
            <w:noWrap/>
            <w:vAlign w:val="center"/>
            <w:hideMark/>
          </w:tcPr>
          <w:p w:rsidR="00F0190D" w:rsidRPr="00BD4B00" w:rsidRDefault="00F0190D" w:rsidP="00BD4B00">
            <w:pPr>
              <w:widowControl/>
              <w:autoSpaceDE/>
              <w:autoSpaceDN/>
              <w:bidi/>
              <w:adjustRightInd/>
              <w:spacing w:line="360" w:lineRule="auto"/>
              <w:jc w:val="center"/>
              <w:rPr>
                <w:rFonts w:asciiTheme="majorBidi" w:hAnsiTheme="majorBidi" w:cstheme="majorBidi"/>
                <w:b/>
                <w:bCs/>
                <w:color w:val="000000"/>
              </w:rPr>
            </w:pPr>
            <w:r w:rsidRPr="00BD4B00">
              <w:rPr>
                <w:rFonts w:asciiTheme="majorBidi" w:hAnsiTheme="majorBidi" w:cstheme="majorBidi"/>
                <w:b/>
                <w:bCs/>
                <w:color w:val="000000"/>
                <w:rtl/>
              </w:rPr>
              <w:t>استقرار</w:t>
            </w:r>
          </w:p>
        </w:tc>
        <w:tc>
          <w:tcPr>
            <w:tcW w:w="888" w:type="dxa"/>
            <w:tcBorders>
              <w:top w:val="nil"/>
              <w:left w:val="nil"/>
              <w:bottom w:val="single" w:sz="4" w:space="0" w:color="auto"/>
              <w:right w:val="single" w:sz="4" w:space="0" w:color="auto"/>
            </w:tcBorders>
            <w:shd w:val="clear" w:color="auto" w:fill="auto"/>
            <w:noWrap/>
            <w:vAlign w:val="center"/>
            <w:hideMark/>
          </w:tcPr>
          <w:p w:rsidR="00F0190D" w:rsidRPr="00BD4B00" w:rsidRDefault="00F0190D" w:rsidP="00BD4B00">
            <w:pPr>
              <w:widowControl/>
              <w:autoSpaceDE/>
              <w:autoSpaceDN/>
              <w:bidi/>
              <w:adjustRightInd/>
              <w:spacing w:line="360" w:lineRule="auto"/>
              <w:jc w:val="center"/>
              <w:rPr>
                <w:rFonts w:asciiTheme="majorBidi" w:hAnsiTheme="majorBidi" w:cstheme="majorBidi"/>
                <w:b/>
                <w:bCs/>
                <w:color w:val="000000"/>
              </w:rPr>
            </w:pPr>
            <w:r w:rsidRPr="00BD4B00">
              <w:rPr>
                <w:rFonts w:asciiTheme="majorBidi" w:hAnsiTheme="majorBidi" w:cstheme="majorBidi"/>
                <w:b/>
                <w:bCs/>
                <w:color w:val="000000"/>
                <w:rtl/>
              </w:rPr>
              <w:t>تحسن</w:t>
            </w:r>
          </w:p>
        </w:tc>
        <w:tc>
          <w:tcPr>
            <w:tcW w:w="707" w:type="dxa"/>
            <w:tcBorders>
              <w:top w:val="nil"/>
              <w:left w:val="nil"/>
              <w:bottom w:val="single" w:sz="4" w:space="0" w:color="auto"/>
              <w:right w:val="single" w:sz="4" w:space="0" w:color="auto"/>
            </w:tcBorders>
            <w:shd w:val="clear" w:color="auto" w:fill="auto"/>
            <w:noWrap/>
            <w:vAlign w:val="center"/>
            <w:hideMark/>
          </w:tcPr>
          <w:p w:rsidR="00F0190D" w:rsidRPr="00BD4B00" w:rsidRDefault="00F0190D" w:rsidP="00BD4B00">
            <w:pPr>
              <w:widowControl/>
              <w:autoSpaceDE/>
              <w:autoSpaceDN/>
              <w:bidi/>
              <w:adjustRightInd/>
              <w:spacing w:line="360" w:lineRule="auto"/>
              <w:jc w:val="center"/>
              <w:rPr>
                <w:rFonts w:asciiTheme="majorBidi" w:hAnsiTheme="majorBidi" w:cstheme="majorBidi"/>
                <w:b/>
                <w:bCs/>
                <w:color w:val="000000"/>
              </w:rPr>
            </w:pPr>
            <w:r w:rsidRPr="00BD4B00">
              <w:rPr>
                <w:rFonts w:asciiTheme="majorBidi" w:hAnsiTheme="majorBidi" w:cstheme="majorBidi"/>
                <w:b/>
                <w:bCs/>
                <w:color w:val="000000"/>
                <w:rtl/>
              </w:rPr>
              <w:t>الرصيد</w:t>
            </w:r>
          </w:p>
        </w:tc>
        <w:tc>
          <w:tcPr>
            <w:tcW w:w="677" w:type="dxa"/>
            <w:tcBorders>
              <w:top w:val="nil"/>
              <w:left w:val="nil"/>
              <w:bottom w:val="single" w:sz="4" w:space="0" w:color="auto"/>
              <w:right w:val="single" w:sz="4" w:space="0" w:color="auto"/>
            </w:tcBorders>
            <w:shd w:val="clear" w:color="auto" w:fill="auto"/>
            <w:noWrap/>
            <w:vAlign w:val="center"/>
            <w:hideMark/>
          </w:tcPr>
          <w:p w:rsidR="00F0190D" w:rsidRPr="00BD4B00" w:rsidRDefault="00F0190D" w:rsidP="00BD4B00">
            <w:pPr>
              <w:widowControl/>
              <w:autoSpaceDE/>
              <w:autoSpaceDN/>
              <w:bidi/>
              <w:adjustRightInd/>
              <w:spacing w:line="360" w:lineRule="auto"/>
              <w:jc w:val="center"/>
              <w:rPr>
                <w:rFonts w:asciiTheme="majorBidi" w:hAnsiTheme="majorBidi" w:cstheme="majorBidi"/>
                <w:b/>
                <w:bCs/>
                <w:color w:val="000000"/>
              </w:rPr>
            </w:pPr>
            <w:r w:rsidRPr="00BD4B00">
              <w:rPr>
                <w:rFonts w:asciiTheme="majorBidi" w:hAnsiTheme="majorBidi" w:cstheme="majorBidi"/>
                <w:b/>
                <w:bCs/>
                <w:color w:val="000000"/>
                <w:rtl/>
              </w:rPr>
              <w:t>تدهور</w:t>
            </w:r>
          </w:p>
        </w:tc>
        <w:tc>
          <w:tcPr>
            <w:tcW w:w="764" w:type="dxa"/>
            <w:tcBorders>
              <w:top w:val="nil"/>
              <w:left w:val="nil"/>
              <w:bottom w:val="single" w:sz="4" w:space="0" w:color="auto"/>
              <w:right w:val="single" w:sz="4" w:space="0" w:color="auto"/>
            </w:tcBorders>
            <w:shd w:val="clear" w:color="auto" w:fill="auto"/>
            <w:noWrap/>
            <w:vAlign w:val="center"/>
            <w:hideMark/>
          </w:tcPr>
          <w:p w:rsidR="00F0190D" w:rsidRPr="00BD4B00" w:rsidRDefault="00F0190D" w:rsidP="00BD4B00">
            <w:pPr>
              <w:widowControl/>
              <w:autoSpaceDE/>
              <w:autoSpaceDN/>
              <w:bidi/>
              <w:adjustRightInd/>
              <w:spacing w:line="360" w:lineRule="auto"/>
              <w:jc w:val="center"/>
              <w:rPr>
                <w:rFonts w:asciiTheme="majorBidi" w:hAnsiTheme="majorBidi" w:cstheme="majorBidi"/>
                <w:b/>
                <w:bCs/>
                <w:color w:val="000000"/>
              </w:rPr>
            </w:pPr>
            <w:r w:rsidRPr="00BD4B00">
              <w:rPr>
                <w:rFonts w:asciiTheme="majorBidi" w:hAnsiTheme="majorBidi" w:cstheme="majorBidi"/>
                <w:b/>
                <w:bCs/>
                <w:color w:val="000000"/>
                <w:rtl/>
              </w:rPr>
              <w:t>استقرار</w:t>
            </w:r>
          </w:p>
        </w:tc>
        <w:tc>
          <w:tcPr>
            <w:tcW w:w="677" w:type="dxa"/>
            <w:tcBorders>
              <w:top w:val="nil"/>
              <w:left w:val="nil"/>
              <w:bottom w:val="single" w:sz="4" w:space="0" w:color="auto"/>
              <w:right w:val="single" w:sz="4" w:space="0" w:color="auto"/>
            </w:tcBorders>
            <w:shd w:val="clear" w:color="auto" w:fill="auto"/>
            <w:noWrap/>
            <w:vAlign w:val="center"/>
            <w:hideMark/>
          </w:tcPr>
          <w:p w:rsidR="00F0190D" w:rsidRPr="00BD4B00" w:rsidRDefault="00F0190D" w:rsidP="00BD4B00">
            <w:pPr>
              <w:widowControl/>
              <w:autoSpaceDE/>
              <w:autoSpaceDN/>
              <w:bidi/>
              <w:adjustRightInd/>
              <w:spacing w:line="360" w:lineRule="auto"/>
              <w:jc w:val="center"/>
              <w:rPr>
                <w:rFonts w:asciiTheme="majorBidi" w:hAnsiTheme="majorBidi" w:cstheme="majorBidi"/>
                <w:b/>
                <w:bCs/>
                <w:color w:val="000000"/>
              </w:rPr>
            </w:pPr>
            <w:r w:rsidRPr="00BD4B00">
              <w:rPr>
                <w:rFonts w:asciiTheme="majorBidi" w:hAnsiTheme="majorBidi" w:cstheme="majorBidi"/>
                <w:b/>
                <w:bCs/>
                <w:color w:val="000000"/>
                <w:rtl/>
              </w:rPr>
              <w:t>تحسن</w:t>
            </w:r>
          </w:p>
        </w:tc>
        <w:tc>
          <w:tcPr>
            <w:tcW w:w="2707" w:type="dxa"/>
            <w:vMerge/>
            <w:tcBorders>
              <w:top w:val="single" w:sz="4" w:space="0" w:color="auto"/>
              <w:left w:val="single" w:sz="4" w:space="0" w:color="auto"/>
              <w:bottom w:val="single" w:sz="4" w:space="0" w:color="auto"/>
              <w:right w:val="single" w:sz="4" w:space="0" w:color="auto"/>
            </w:tcBorders>
            <w:vAlign w:val="center"/>
            <w:hideMark/>
          </w:tcPr>
          <w:p w:rsidR="00F0190D" w:rsidRPr="00BD4B00" w:rsidRDefault="00F0190D" w:rsidP="00BD4B00">
            <w:pPr>
              <w:widowControl/>
              <w:autoSpaceDE/>
              <w:autoSpaceDN/>
              <w:adjustRightInd/>
              <w:spacing w:line="360" w:lineRule="auto"/>
              <w:rPr>
                <w:rFonts w:asciiTheme="majorBidi" w:hAnsiTheme="majorBidi" w:cstheme="majorBidi"/>
                <w:b/>
                <w:bCs/>
                <w:color w:val="000000"/>
                <w:sz w:val="32"/>
                <w:szCs w:val="32"/>
              </w:rPr>
            </w:pPr>
          </w:p>
        </w:tc>
      </w:tr>
      <w:tr w:rsidR="003963DC" w:rsidRPr="00BD4B00" w:rsidTr="0003179C">
        <w:trPr>
          <w:trHeight w:val="611"/>
        </w:trPr>
        <w:tc>
          <w:tcPr>
            <w:tcW w:w="934" w:type="dxa"/>
            <w:tcBorders>
              <w:top w:val="nil"/>
              <w:left w:val="single" w:sz="4" w:space="0" w:color="auto"/>
              <w:bottom w:val="single" w:sz="4" w:space="0" w:color="auto"/>
              <w:right w:val="single" w:sz="4" w:space="0" w:color="auto"/>
            </w:tcBorders>
            <w:shd w:val="clear" w:color="auto" w:fill="auto"/>
            <w:noWrap/>
            <w:vAlign w:val="center"/>
            <w:hideMark/>
          </w:tcPr>
          <w:p w:rsidR="003963DC" w:rsidRPr="00BD4B00" w:rsidRDefault="003963DC" w:rsidP="00BD4B00">
            <w:pPr>
              <w:spacing w:line="360" w:lineRule="auto"/>
              <w:jc w:val="center"/>
              <w:rPr>
                <w:rFonts w:asciiTheme="majorBidi" w:hAnsiTheme="majorBidi" w:cstheme="majorBidi"/>
                <w:b/>
                <w:bCs/>
                <w:color w:val="000000"/>
                <w:sz w:val="20"/>
                <w:szCs w:val="20"/>
              </w:rPr>
            </w:pPr>
            <w:r w:rsidRPr="00BD4B00">
              <w:rPr>
                <w:rFonts w:asciiTheme="majorBidi" w:hAnsiTheme="majorBidi" w:cstheme="majorBidi"/>
                <w:b/>
                <w:bCs/>
                <w:color w:val="000000"/>
                <w:sz w:val="20"/>
                <w:szCs w:val="20"/>
              </w:rPr>
              <w:t>36,9</w:t>
            </w:r>
          </w:p>
        </w:tc>
        <w:tc>
          <w:tcPr>
            <w:tcW w:w="888" w:type="dxa"/>
            <w:tcBorders>
              <w:top w:val="nil"/>
              <w:left w:val="nil"/>
              <w:bottom w:val="single" w:sz="4" w:space="0" w:color="auto"/>
              <w:right w:val="single" w:sz="4" w:space="0" w:color="auto"/>
            </w:tcBorders>
            <w:shd w:val="clear" w:color="auto" w:fill="auto"/>
            <w:noWrap/>
            <w:vAlign w:val="center"/>
            <w:hideMark/>
          </w:tcPr>
          <w:p w:rsidR="003963DC" w:rsidRPr="00BD4B00" w:rsidRDefault="003963DC" w:rsidP="00BD4B00">
            <w:pPr>
              <w:spacing w:line="360" w:lineRule="auto"/>
              <w:jc w:val="right"/>
              <w:rPr>
                <w:rFonts w:asciiTheme="majorBidi" w:hAnsiTheme="majorBidi" w:cstheme="majorBidi"/>
                <w:sz w:val="18"/>
                <w:szCs w:val="18"/>
              </w:rPr>
            </w:pPr>
            <w:r w:rsidRPr="00BD4B00">
              <w:rPr>
                <w:rFonts w:asciiTheme="majorBidi" w:hAnsiTheme="majorBidi" w:cstheme="majorBidi"/>
                <w:sz w:val="18"/>
                <w:szCs w:val="18"/>
              </w:rPr>
              <w:t>18,6%</w:t>
            </w:r>
          </w:p>
        </w:tc>
        <w:tc>
          <w:tcPr>
            <w:tcW w:w="1025" w:type="dxa"/>
            <w:tcBorders>
              <w:top w:val="nil"/>
              <w:left w:val="nil"/>
              <w:bottom w:val="single" w:sz="4" w:space="0" w:color="auto"/>
              <w:right w:val="single" w:sz="4" w:space="0" w:color="auto"/>
            </w:tcBorders>
            <w:shd w:val="clear" w:color="auto" w:fill="auto"/>
            <w:noWrap/>
            <w:vAlign w:val="center"/>
            <w:hideMark/>
          </w:tcPr>
          <w:p w:rsidR="003963DC" w:rsidRPr="00BD4B00" w:rsidRDefault="005A4E14" w:rsidP="00BD4B00">
            <w:pPr>
              <w:spacing w:line="360" w:lineRule="auto"/>
              <w:jc w:val="right"/>
              <w:rPr>
                <w:rFonts w:asciiTheme="majorBidi" w:hAnsiTheme="majorBidi" w:cstheme="majorBidi"/>
                <w:sz w:val="18"/>
                <w:szCs w:val="18"/>
              </w:rPr>
            </w:pPr>
            <w:r w:rsidRPr="00BD4B00">
              <w:rPr>
                <w:rFonts w:asciiTheme="majorBidi" w:hAnsiTheme="majorBidi" w:cstheme="majorBidi"/>
                <w:sz w:val="18"/>
                <w:szCs w:val="18"/>
                <w:rtl/>
              </w:rPr>
              <w:t>25,9</w:t>
            </w:r>
            <w:r w:rsidR="003963DC" w:rsidRPr="00BD4B00">
              <w:rPr>
                <w:rFonts w:asciiTheme="majorBidi" w:hAnsiTheme="majorBidi" w:cstheme="majorBidi"/>
                <w:sz w:val="18"/>
                <w:szCs w:val="18"/>
              </w:rPr>
              <w:t>%</w:t>
            </w:r>
          </w:p>
        </w:tc>
        <w:tc>
          <w:tcPr>
            <w:tcW w:w="888" w:type="dxa"/>
            <w:tcBorders>
              <w:top w:val="nil"/>
              <w:left w:val="nil"/>
              <w:bottom w:val="single" w:sz="4" w:space="0" w:color="auto"/>
              <w:right w:val="single" w:sz="4" w:space="0" w:color="auto"/>
            </w:tcBorders>
            <w:shd w:val="clear" w:color="auto" w:fill="auto"/>
            <w:noWrap/>
            <w:vAlign w:val="center"/>
            <w:hideMark/>
          </w:tcPr>
          <w:p w:rsidR="003963DC" w:rsidRPr="00BD4B00" w:rsidRDefault="003963DC" w:rsidP="00BD4B00">
            <w:pPr>
              <w:spacing w:line="360" w:lineRule="auto"/>
              <w:jc w:val="right"/>
              <w:rPr>
                <w:rFonts w:asciiTheme="majorBidi" w:hAnsiTheme="majorBidi" w:cstheme="majorBidi"/>
                <w:sz w:val="18"/>
                <w:szCs w:val="18"/>
              </w:rPr>
            </w:pPr>
            <w:r w:rsidRPr="00BD4B00">
              <w:rPr>
                <w:rFonts w:asciiTheme="majorBidi" w:hAnsiTheme="majorBidi" w:cstheme="majorBidi"/>
                <w:sz w:val="18"/>
                <w:szCs w:val="18"/>
              </w:rPr>
              <w:t>55,5%</w:t>
            </w:r>
          </w:p>
        </w:tc>
        <w:tc>
          <w:tcPr>
            <w:tcW w:w="707" w:type="dxa"/>
            <w:tcBorders>
              <w:top w:val="nil"/>
              <w:left w:val="nil"/>
              <w:bottom w:val="single" w:sz="4" w:space="0" w:color="auto"/>
              <w:right w:val="single" w:sz="4" w:space="0" w:color="auto"/>
            </w:tcBorders>
            <w:shd w:val="clear" w:color="auto" w:fill="auto"/>
            <w:noWrap/>
            <w:vAlign w:val="center"/>
            <w:hideMark/>
          </w:tcPr>
          <w:p w:rsidR="003963DC" w:rsidRPr="00BD4B00" w:rsidRDefault="003963DC" w:rsidP="00BD4B00">
            <w:pPr>
              <w:spacing w:line="360" w:lineRule="auto"/>
              <w:jc w:val="center"/>
              <w:rPr>
                <w:rFonts w:asciiTheme="majorBidi" w:hAnsiTheme="majorBidi" w:cstheme="majorBidi"/>
                <w:b/>
                <w:bCs/>
                <w:color w:val="000000"/>
                <w:sz w:val="20"/>
                <w:szCs w:val="20"/>
              </w:rPr>
            </w:pPr>
            <w:r w:rsidRPr="00BD4B00">
              <w:rPr>
                <w:rFonts w:asciiTheme="majorBidi" w:hAnsiTheme="majorBidi" w:cstheme="majorBidi"/>
                <w:b/>
                <w:bCs/>
                <w:color w:val="000000"/>
                <w:sz w:val="20"/>
                <w:szCs w:val="20"/>
              </w:rPr>
              <w:t>34,4</w:t>
            </w:r>
          </w:p>
        </w:tc>
        <w:tc>
          <w:tcPr>
            <w:tcW w:w="677" w:type="dxa"/>
            <w:tcBorders>
              <w:top w:val="nil"/>
              <w:left w:val="nil"/>
              <w:bottom w:val="single" w:sz="4" w:space="0" w:color="auto"/>
              <w:right w:val="single" w:sz="4" w:space="0" w:color="auto"/>
            </w:tcBorders>
            <w:shd w:val="clear" w:color="auto" w:fill="auto"/>
            <w:noWrap/>
            <w:vAlign w:val="center"/>
            <w:hideMark/>
          </w:tcPr>
          <w:p w:rsidR="003963DC" w:rsidRPr="00BD4B00" w:rsidRDefault="003963DC" w:rsidP="00BD4B00">
            <w:pPr>
              <w:widowControl/>
              <w:autoSpaceDE/>
              <w:autoSpaceDN/>
              <w:adjustRightInd/>
              <w:spacing w:line="360" w:lineRule="auto"/>
              <w:jc w:val="center"/>
              <w:rPr>
                <w:rFonts w:asciiTheme="majorBidi" w:hAnsiTheme="majorBidi" w:cstheme="majorBidi"/>
                <w:sz w:val="20"/>
                <w:szCs w:val="20"/>
              </w:rPr>
            </w:pPr>
            <w:r w:rsidRPr="00BD4B00">
              <w:rPr>
                <w:rFonts w:asciiTheme="majorBidi" w:hAnsiTheme="majorBidi" w:cstheme="majorBidi"/>
                <w:sz w:val="20"/>
                <w:szCs w:val="20"/>
              </w:rPr>
              <w:t>20,8%</w:t>
            </w:r>
          </w:p>
        </w:tc>
        <w:tc>
          <w:tcPr>
            <w:tcW w:w="764" w:type="dxa"/>
            <w:tcBorders>
              <w:top w:val="nil"/>
              <w:left w:val="nil"/>
              <w:bottom w:val="single" w:sz="4" w:space="0" w:color="auto"/>
              <w:right w:val="single" w:sz="4" w:space="0" w:color="auto"/>
            </w:tcBorders>
            <w:shd w:val="clear" w:color="auto" w:fill="auto"/>
            <w:noWrap/>
            <w:vAlign w:val="center"/>
            <w:hideMark/>
          </w:tcPr>
          <w:p w:rsidR="003963DC" w:rsidRPr="00BD4B00" w:rsidRDefault="005A4E14" w:rsidP="00BD4B00">
            <w:pPr>
              <w:widowControl/>
              <w:autoSpaceDE/>
              <w:autoSpaceDN/>
              <w:adjustRightInd/>
              <w:spacing w:line="360" w:lineRule="auto"/>
              <w:jc w:val="center"/>
              <w:rPr>
                <w:rFonts w:asciiTheme="majorBidi" w:hAnsiTheme="majorBidi" w:cstheme="majorBidi"/>
                <w:sz w:val="20"/>
                <w:szCs w:val="20"/>
              </w:rPr>
            </w:pPr>
            <w:r w:rsidRPr="00BD4B00">
              <w:rPr>
                <w:rFonts w:asciiTheme="majorBidi" w:hAnsiTheme="majorBidi" w:cstheme="majorBidi"/>
                <w:sz w:val="20"/>
                <w:szCs w:val="20"/>
                <w:rtl/>
              </w:rPr>
              <w:t>24,0</w:t>
            </w:r>
            <w:r w:rsidR="003963DC" w:rsidRPr="00BD4B00">
              <w:rPr>
                <w:rFonts w:asciiTheme="majorBidi" w:hAnsiTheme="majorBidi" w:cstheme="majorBidi"/>
                <w:sz w:val="20"/>
                <w:szCs w:val="20"/>
              </w:rPr>
              <w:t>%</w:t>
            </w:r>
          </w:p>
        </w:tc>
        <w:tc>
          <w:tcPr>
            <w:tcW w:w="677" w:type="dxa"/>
            <w:tcBorders>
              <w:top w:val="nil"/>
              <w:left w:val="nil"/>
              <w:bottom w:val="single" w:sz="4" w:space="0" w:color="auto"/>
              <w:right w:val="single" w:sz="4" w:space="0" w:color="auto"/>
            </w:tcBorders>
            <w:shd w:val="clear" w:color="auto" w:fill="auto"/>
            <w:noWrap/>
            <w:vAlign w:val="center"/>
            <w:hideMark/>
          </w:tcPr>
          <w:p w:rsidR="003963DC" w:rsidRPr="00BD4B00" w:rsidRDefault="003963DC" w:rsidP="00BD4B00">
            <w:pPr>
              <w:widowControl/>
              <w:autoSpaceDE/>
              <w:autoSpaceDN/>
              <w:adjustRightInd/>
              <w:spacing w:line="360" w:lineRule="auto"/>
              <w:jc w:val="center"/>
              <w:rPr>
                <w:rFonts w:asciiTheme="majorBidi" w:hAnsiTheme="majorBidi" w:cstheme="majorBidi"/>
                <w:sz w:val="20"/>
                <w:szCs w:val="20"/>
              </w:rPr>
            </w:pPr>
            <w:r w:rsidRPr="00BD4B00">
              <w:rPr>
                <w:rFonts w:asciiTheme="majorBidi" w:hAnsiTheme="majorBidi" w:cstheme="majorBidi"/>
                <w:sz w:val="20"/>
                <w:szCs w:val="20"/>
              </w:rPr>
              <w:t>55,2%</w:t>
            </w:r>
          </w:p>
        </w:tc>
        <w:tc>
          <w:tcPr>
            <w:tcW w:w="2707" w:type="dxa"/>
            <w:tcBorders>
              <w:top w:val="nil"/>
              <w:left w:val="nil"/>
              <w:bottom w:val="single" w:sz="4" w:space="0" w:color="auto"/>
              <w:right w:val="single" w:sz="4" w:space="0" w:color="auto"/>
            </w:tcBorders>
            <w:shd w:val="clear" w:color="auto" w:fill="auto"/>
            <w:noWrap/>
            <w:vAlign w:val="center"/>
            <w:hideMark/>
          </w:tcPr>
          <w:p w:rsidR="003963DC" w:rsidRPr="00BD4B00" w:rsidRDefault="003963DC" w:rsidP="00BD4B00">
            <w:pPr>
              <w:widowControl/>
              <w:autoSpaceDE/>
              <w:autoSpaceDN/>
              <w:bidi/>
              <w:adjustRightInd/>
              <w:spacing w:line="360" w:lineRule="auto"/>
              <w:rPr>
                <w:rFonts w:asciiTheme="majorBidi" w:hAnsiTheme="majorBidi" w:cstheme="majorBidi"/>
                <w:b/>
                <w:bCs/>
                <w:color w:val="000000"/>
              </w:rPr>
            </w:pPr>
            <w:r w:rsidRPr="00BD4B00">
              <w:rPr>
                <w:rFonts w:asciiTheme="majorBidi" w:hAnsiTheme="majorBidi" w:cstheme="majorBidi"/>
                <w:b/>
                <w:bCs/>
                <w:color w:val="000000"/>
                <w:rtl/>
              </w:rPr>
              <w:t>تطور جودة الخدمات الإدارية</w:t>
            </w:r>
          </w:p>
        </w:tc>
      </w:tr>
      <w:tr w:rsidR="003963DC" w:rsidRPr="00BD4B00" w:rsidTr="0003179C">
        <w:trPr>
          <w:trHeight w:val="611"/>
        </w:trPr>
        <w:tc>
          <w:tcPr>
            <w:tcW w:w="934" w:type="dxa"/>
            <w:tcBorders>
              <w:top w:val="nil"/>
              <w:left w:val="single" w:sz="4" w:space="0" w:color="auto"/>
              <w:bottom w:val="single" w:sz="4" w:space="0" w:color="auto"/>
              <w:right w:val="single" w:sz="4" w:space="0" w:color="auto"/>
            </w:tcBorders>
            <w:shd w:val="clear" w:color="auto" w:fill="auto"/>
            <w:noWrap/>
            <w:vAlign w:val="center"/>
            <w:hideMark/>
          </w:tcPr>
          <w:p w:rsidR="003963DC" w:rsidRPr="00BD4B00" w:rsidRDefault="005A4E14" w:rsidP="00BD4B00">
            <w:pPr>
              <w:spacing w:line="360" w:lineRule="auto"/>
              <w:jc w:val="center"/>
              <w:rPr>
                <w:rFonts w:asciiTheme="majorBidi" w:hAnsiTheme="majorBidi" w:cstheme="majorBidi"/>
                <w:b/>
                <w:bCs/>
                <w:color w:val="000000"/>
                <w:sz w:val="20"/>
                <w:szCs w:val="20"/>
              </w:rPr>
            </w:pPr>
            <w:r w:rsidRPr="00BD4B00">
              <w:rPr>
                <w:rFonts w:asciiTheme="majorBidi" w:hAnsiTheme="majorBidi" w:cstheme="majorBidi"/>
                <w:b/>
                <w:bCs/>
                <w:color w:val="000000"/>
                <w:sz w:val="20"/>
                <w:szCs w:val="20"/>
                <w:rtl/>
              </w:rPr>
              <w:t>34,4</w:t>
            </w:r>
          </w:p>
        </w:tc>
        <w:tc>
          <w:tcPr>
            <w:tcW w:w="888" w:type="dxa"/>
            <w:tcBorders>
              <w:top w:val="nil"/>
              <w:left w:val="nil"/>
              <w:bottom w:val="single" w:sz="4" w:space="0" w:color="auto"/>
              <w:right w:val="single" w:sz="4" w:space="0" w:color="auto"/>
            </w:tcBorders>
            <w:shd w:val="clear" w:color="auto" w:fill="auto"/>
            <w:noWrap/>
            <w:vAlign w:val="center"/>
            <w:hideMark/>
          </w:tcPr>
          <w:p w:rsidR="003963DC" w:rsidRPr="00BD4B00" w:rsidRDefault="003963DC" w:rsidP="00BD4B00">
            <w:pPr>
              <w:spacing w:line="360" w:lineRule="auto"/>
              <w:jc w:val="right"/>
              <w:rPr>
                <w:rFonts w:asciiTheme="majorBidi" w:hAnsiTheme="majorBidi" w:cstheme="majorBidi"/>
                <w:sz w:val="18"/>
                <w:szCs w:val="18"/>
              </w:rPr>
            </w:pPr>
            <w:r w:rsidRPr="00BD4B00">
              <w:rPr>
                <w:rFonts w:asciiTheme="majorBidi" w:hAnsiTheme="majorBidi" w:cstheme="majorBidi"/>
                <w:sz w:val="18"/>
                <w:szCs w:val="18"/>
              </w:rPr>
              <w:t>15,8%</w:t>
            </w:r>
          </w:p>
        </w:tc>
        <w:tc>
          <w:tcPr>
            <w:tcW w:w="1025" w:type="dxa"/>
            <w:tcBorders>
              <w:top w:val="nil"/>
              <w:left w:val="nil"/>
              <w:bottom w:val="single" w:sz="4" w:space="0" w:color="auto"/>
              <w:right w:val="single" w:sz="4" w:space="0" w:color="auto"/>
            </w:tcBorders>
            <w:shd w:val="clear" w:color="auto" w:fill="auto"/>
            <w:noWrap/>
            <w:vAlign w:val="center"/>
            <w:hideMark/>
          </w:tcPr>
          <w:p w:rsidR="003963DC" w:rsidRPr="00BD4B00" w:rsidRDefault="003963DC" w:rsidP="00BD4B00">
            <w:pPr>
              <w:spacing w:line="360" w:lineRule="auto"/>
              <w:jc w:val="right"/>
              <w:rPr>
                <w:rFonts w:asciiTheme="majorBidi" w:hAnsiTheme="majorBidi" w:cstheme="majorBidi"/>
                <w:sz w:val="18"/>
                <w:szCs w:val="18"/>
              </w:rPr>
            </w:pPr>
            <w:r w:rsidRPr="00BD4B00">
              <w:rPr>
                <w:rFonts w:asciiTheme="majorBidi" w:hAnsiTheme="majorBidi" w:cstheme="majorBidi"/>
                <w:sz w:val="18"/>
                <w:szCs w:val="18"/>
              </w:rPr>
              <w:t>34,0%</w:t>
            </w:r>
          </w:p>
        </w:tc>
        <w:tc>
          <w:tcPr>
            <w:tcW w:w="888" w:type="dxa"/>
            <w:tcBorders>
              <w:top w:val="nil"/>
              <w:left w:val="nil"/>
              <w:bottom w:val="single" w:sz="4" w:space="0" w:color="auto"/>
              <w:right w:val="single" w:sz="4" w:space="0" w:color="auto"/>
            </w:tcBorders>
            <w:shd w:val="clear" w:color="auto" w:fill="auto"/>
            <w:noWrap/>
            <w:vAlign w:val="center"/>
            <w:hideMark/>
          </w:tcPr>
          <w:p w:rsidR="003963DC" w:rsidRPr="00BD4B00" w:rsidRDefault="005A4E14" w:rsidP="00BD4B00">
            <w:pPr>
              <w:spacing w:line="360" w:lineRule="auto"/>
              <w:jc w:val="right"/>
              <w:rPr>
                <w:rFonts w:asciiTheme="majorBidi" w:hAnsiTheme="majorBidi" w:cstheme="majorBidi"/>
                <w:sz w:val="18"/>
                <w:szCs w:val="18"/>
              </w:rPr>
            </w:pPr>
            <w:r w:rsidRPr="00BD4B00">
              <w:rPr>
                <w:rFonts w:asciiTheme="majorBidi" w:hAnsiTheme="majorBidi" w:cstheme="majorBidi"/>
                <w:sz w:val="18"/>
                <w:szCs w:val="18"/>
                <w:rtl/>
              </w:rPr>
              <w:t>50,2</w:t>
            </w:r>
            <w:r w:rsidR="003963DC" w:rsidRPr="00BD4B00">
              <w:rPr>
                <w:rFonts w:asciiTheme="majorBidi" w:hAnsiTheme="majorBidi" w:cstheme="majorBidi"/>
                <w:sz w:val="18"/>
                <w:szCs w:val="18"/>
              </w:rPr>
              <w:t>%</w:t>
            </w:r>
          </w:p>
        </w:tc>
        <w:tc>
          <w:tcPr>
            <w:tcW w:w="707" w:type="dxa"/>
            <w:tcBorders>
              <w:top w:val="nil"/>
              <w:left w:val="nil"/>
              <w:bottom w:val="single" w:sz="4" w:space="0" w:color="auto"/>
              <w:right w:val="single" w:sz="4" w:space="0" w:color="auto"/>
            </w:tcBorders>
            <w:shd w:val="clear" w:color="auto" w:fill="auto"/>
            <w:noWrap/>
            <w:vAlign w:val="center"/>
            <w:hideMark/>
          </w:tcPr>
          <w:p w:rsidR="003963DC" w:rsidRPr="00BD4B00" w:rsidRDefault="003963DC" w:rsidP="00BD4B00">
            <w:pPr>
              <w:spacing w:line="360" w:lineRule="auto"/>
              <w:jc w:val="center"/>
              <w:rPr>
                <w:rFonts w:asciiTheme="majorBidi" w:hAnsiTheme="majorBidi" w:cstheme="majorBidi"/>
                <w:b/>
                <w:bCs/>
                <w:color w:val="000000"/>
                <w:sz w:val="20"/>
                <w:szCs w:val="20"/>
              </w:rPr>
            </w:pPr>
            <w:r w:rsidRPr="00BD4B00">
              <w:rPr>
                <w:rFonts w:asciiTheme="majorBidi" w:hAnsiTheme="majorBidi" w:cstheme="majorBidi"/>
                <w:b/>
                <w:bCs/>
                <w:color w:val="000000"/>
                <w:sz w:val="20"/>
                <w:szCs w:val="20"/>
              </w:rPr>
              <w:t>35,7</w:t>
            </w:r>
          </w:p>
        </w:tc>
        <w:tc>
          <w:tcPr>
            <w:tcW w:w="677" w:type="dxa"/>
            <w:tcBorders>
              <w:top w:val="nil"/>
              <w:left w:val="nil"/>
              <w:bottom w:val="single" w:sz="4" w:space="0" w:color="auto"/>
              <w:right w:val="single" w:sz="4" w:space="0" w:color="auto"/>
            </w:tcBorders>
            <w:shd w:val="clear" w:color="auto" w:fill="auto"/>
            <w:noWrap/>
            <w:vAlign w:val="center"/>
            <w:hideMark/>
          </w:tcPr>
          <w:p w:rsidR="003963DC" w:rsidRPr="00BD4B00" w:rsidRDefault="003963DC" w:rsidP="00BD4B00">
            <w:pPr>
              <w:widowControl/>
              <w:autoSpaceDE/>
              <w:autoSpaceDN/>
              <w:adjustRightInd/>
              <w:spacing w:line="360" w:lineRule="auto"/>
              <w:jc w:val="center"/>
              <w:rPr>
                <w:rFonts w:asciiTheme="majorBidi" w:hAnsiTheme="majorBidi" w:cstheme="majorBidi"/>
                <w:sz w:val="20"/>
                <w:szCs w:val="20"/>
              </w:rPr>
            </w:pPr>
            <w:r w:rsidRPr="00BD4B00">
              <w:rPr>
                <w:rFonts w:asciiTheme="majorBidi" w:hAnsiTheme="majorBidi" w:cstheme="majorBidi"/>
                <w:sz w:val="20"/>
                <w:szCs w:val="20"/>
              </w:rPr>
              <w:t>17,0%</w:t>
            </w:r>
          </w:p>
        </w:tc>
        <w:tc>
          <w:tcPr>
            <w:tcW w:w="764" w:type="dxa"/>
            <w:tcBorders>
              <w:top w:val="nil"/>
              <w:left w:val="nil"/>
              <w:bottom w:val="single" w:sz="4" w:space="0" w:color="auto"/>
              <w:right w:val="single" w:sz="4" w:space="0" w:color="auto"/>
            </w:tcBorders>
            <w:shd w:val="clear" w:color="auto" w:fill="auto"/>
            <w:noWrap/>
            <w:vAlign w:val="center"/>
            <w:hideMark/>
          </w:tcPr>
          <w:p w:rsidR="003963DC" w:rsidRPr="00BD4B00" w:rsidRDefault="003963DC" w:rsidP="00BD4B00">
            <w:pPr>
              <w:widowControl/>
              <w:autoSpaceDE/>
              <w:autoSpaceDN/>
              <w:adjustRightInd/>
              <w:spacing w:line="360" w:lineRule="auto"/>
              <w:jc w:val="center"/>
              <w:rPr>
                <w:rFonts w:asciiTheme="majorBidi" w:hAnsiTheme="majorBidi" w:cstheme="majorBidi"/>
                <w:sz w:val="20"/>
                <w:szCs w:val="20"/>
              </w:rPr>
            </w:pPr>
            <w:r w:rsidRPr="00BD4B00">
              <w:rPr>
                <w:rFonts w:asciiTheme="majorBidi" w:hAnsiTheme="majorBidi" w:cstheme="majorBidi"/>
                <w:sz w:val="20"/>
                <w:szCs w:val="20"/>
              </w:rPr>
              <w:t>30,3%</w:t>
            </w:r>
          </w:p>
        </w:tc>
        <w:tc>
          <w:tcPr>
            <w:tcW w:w="677" w:type="dxa"/>
            <w:tcBorders>
              <w:top w:val="nil"/>
              <w:left w:val="nil"/>
              <w:bottom w:val="single" w:sz="4" w:space="0" w:color="auto"/>
              <w:right w:val="single" w:sz="4" w:space="0" w:color="auto"/>
            </w:tcBorders>
            <w:shd w:val="clear" w:color="auto" w:fill="auto"/>
            <w:noWrap/>
            <w:vAlign w:val="center"/>
            <w:hideMark/>
          </w:tcPr>
          <w:p w:rsidR="003963DC" w:rsidRPr="00BD4B00" w:rsidRDefault="003963DC" w:rsidP="00BD4B00">
            <w:pPr>
              <w:widowControl/>
              <w:autoSpaceDE/>
              <w:autoSpaceDN/>
              <w:adjustRightInd/>
              <w:spacing w:line="360" w:lineRule="auto"/>
              <w:jc w:val="center"/>
              <w:rPr>
                <w:rFonts w:asciiTheme="majorBidi" w:hAnsiTheme="majorBidi" w:cstheme="majorBidi"/>
                <w:sz w:val="20"/>
                <w:szCs w:val="20"/>
              </w:rPr>
            </w:pPr>
            <w:r w:rsidRPr="00BD4B00">
              <w:rPr>
                <w:rFonts w:asciiTheme="majorBidi" w:hAnsiTheme="majorBidi" w:cstheme="majorBidi"/>
                <w:sz w:val="20"/>
                <w:szCs w:val="20"/>
              </w:rPr>
              <w:t>52,7%</w:t>
            </w:r>
          </w:p>
        </w:tc>
        <w:tc>
          <w:tcPr>
            <w:tcW w:w="2707" w:type="dxa"/>
            <w:tcBorders>
              <w:top w:val="nil"/>
              <w:left w:val="nil"/>
              <w:bottom w:val="single" w:sz="4" w:space="0" w:color="auto"/>
              <w:right w:val="single" w:sz="4" w:space="0" w:color="auto"/>
            </w:tcBorders>
            <w:shd w:val="clear" w:color="auto" w:fill="auto"/>
            <w:noWrap/>
            <w:vAlign w:val="center"/>
            <w:hideMark/>
          </w:tcPr>
          <w:p w:rsidR="003963DC" w:rsidRPr="00BD4B00" w:rsidRDefault="003963DC" w:rsidP="00BD4B00">
            <w:pPr>
              <w:widowControl/>
              <w:autoSpaceDE/>
              <w:autoSpaceDN/>
              <w:bidi/>
              <w:adjustRightInd/>
              <w:spacing w:line="360" w:lineRule="auto"/>
              <w:rPr>
                <w:rFonts w:asciiTheme="majorBidi" w:hAnsiTheme="majorBidi" w:cstheme="majorBidi"/>
                <w:b/>
                <w:bCs/>
                <w:color w:val="000000"/>
              </w:rPr>
            </w:pPr>
            <w:r w:rsidRPr="00BD4B00">
              <w:rPr>
                <w:rFonts w:asciiTheme="majorBidi" w:hAnsiTheme="majorBidi" w:cstheme="majorBidi"/>
                <w:b/>
                <w:bCs/>
                <w:color w:val="000000"/>
                <w:rtl/>
              </w:rPr>
              <w:t>تطور وضعية المحافظة على البيئة</w:t>
            </w:r>
          </w:p>
        </w:tc>
      </w:tr>
      <w:tr w:rsidR="003963DC" w:rsidRPr="00BD4B00" w:rsidTr="0003179C">
        <w:trPr>
          <w:trHeight w:val="611"/>
        </w:trPr>
        <w:tc>
          <w:tcPr>
            <w:tcW w:w="934" w:type="dxa"/>
            <w:tcBorders>
              <w:top w:val="nil"/>
              <w:left w:val="single" w:sz="4" w:space="0" w:color="auto"/>
              <w:bottom w:val="single" w:sz="4" w:space="0" w:color="auto"/>
              <w:right w:val="single" w:sz="4" w:space="0" w:color="auto"/>
            </w:tcBorders>
            <w:shd w:val="clear" w:color="auto" w:fill="auto"/>
            <w:noWrap/>
            <w:vAlign w:val="center"/>
            <w:hideMark/>
          </w:tcPr>
          <w:p w:rsidR="003963DC" w:rsidRPr="00BD4B00" w:rsidRDefault="005A4E14" w:rsidP="00BD4B00">
            <w:pPr>
              <w:spacing w:line="360" w:lineRule="auto"/>
              <w:jc w:val="center"/>
              <w:rPr>
                <w:rFonts w:asciiTheme="majorBidi" w:hAnsiTheme="majorBidi" w:cstheme="majorBidi"/>
                <w:b/>
                <w:bCs/>
                <w:color w:val="000000"/>
                <w:sz w:val="20"/>
                <w:szCs w:val="20"/>
              </w:rPr>
            </w:pPr>
            <w:r w:rsidRPr="00BD4B00">
              <w:rPr>
                <w:rFonts w:asciiTheme="majorBidi" w:hAnsiTheme="majorBidi" w:cstheme="majorBidi"/>
                <w:b/>
                <w:bCs/>
                <w:color w:val="000000"/>
                <w:sz w:val="20"/>
                <w:szCs w:val="20"/>
                <w:rtl/>
              </w:rPr>
              <w:t>17,1</w:t>
            </w:r>
          </w:p>
        </w:tc>
        <w:tc>
          <w:tcPr>
            <w:tcW w:w="888" w:type="dxa"/>
            <w:tcBorders>
              <w:top w:val="nil"/>
              <w:left w:val="nil"/>
              <w:bottom w:val="single" w:sz="4" w:space="0" w:color="auto"/>
              <w:right w:val="single" w:sz="4" w:space="0" w:color="auto"/>
            </w:tcBorders>
            <w:shd w:val="clear" w:color="auto" w:fill="auto"/>
            <w:noWrap/>
            <w:vAlign w:val="center"/>
            <w:hideMark/>
          </w:tcPr>
          <w:p w:rsidR="003963DC" w:rsidRPr="00BD4B00" w:rsidRDefault="003963DC" w:rsidP="00BD4B00">
            <w:pPr>
              <w:spacing w:line="360" w:lineRule="auto"/>
              <w:jc w:val="right"/>
              <w:rPr>
                <w:rFonts w:asciiTheme="majorBidi" w:hAnsiTheme="majorBidi" w:cstheme="majorBidi"/>
                <w:sz w:val="18"/>
                <w:szCs w:val="18"/>
              </w:rPr>
            </w:pPr>
            <w:r w:rsidRPr="00BD4B00">
              <w:rPr>
                <w:rFonts w:asciiTheme="majorBidi" w:hAnsiTheme="majorBidi" w:cstheme="majorBidi"/>
                <w:sz w:val="18"/>
                <w:szCs w:val="18"/>
              </w:rPr>
              <w:t>19,6%</w:t>
            </w:r>
          </w:p>
        </w:tc>
        <w:tc>
          <w:tcPr>
            <w:tcW w:w="1025" w:type="dxa"/>
            <w:tcBorders>
              <w:top w:val="nil"/>
              <w:left w:val="nil"/>
              <w:bottom w:val="single" w:sz="4" w:space="0" w:color="auto"/>
              <w:right w:val="single" w:sz="4" w:space="0" w:color="auto"/>
            </w:tcBorders>
            <w:shd w:val="clear" w:color="auto" w:fill="auto"/>
            <w:noWrap/>
            <w:vAlign w:val="center"/>
            <w:hideMark/>
          </w:tcPr>
          <w:p w:rsidR="003963DC" w:rsidRPr="00BD4B00" w:rsidRDefault="003963DC" w:rsidP="00BD4B00">
            <w:pPr>
              <w:spacing w:line="360" w:lineRule="auto"/>
              <w:jc w:val="right"/>
              <w:rPr>
                <w:rFonts w:asciiTheme="majorBidi" w:hAnsiTheme="majorBidi" w:cstheme="majorBidi"/>
                <w:sz w:val="18"/>
                <w:szCs w:val="18"/>
              </w:rPr>
            </w:pPr>
            <w:r w:rsidRPr="00BD4B00">
              <w:rPr>
                <w:rFonts w:asciiTheme="majorBidi" w:hAnsiTheme="majorBidi" w:cstheme="majorBidi"/>
                <w:sz w:val="18"/>
                <w:szCs w:val="18"/>
              </w:rPr>
              <w:t>43,7%</w:t>
            </w:r>
          </w:p>
        </w:tc>
        <w:tc>
          <w:tcPr>
            <w:tcW w:w="888" w:type="dxa"/>
            <w:tcBorders>
              <w:top w:val="nil"/>
              <w:left w:val="nil"/>
              <w:bottom w:val="single" w:sz="4" w:space="0" w:color="auto"/>
              <w:right w:val="single" w:sz="4" w:space="0" w:color="auto"/>
            </w:tcBorders>
            <w:shd w:val="clear" w:color="auto" w:fill="auto"/>
            <w:noWrap/>
            <w:vAlign w:val="center"/>
            <w:hideMark/>
          </w:tcPr>
          <w:p w:rsidR="003963DC" w:rsidRPr="00BD4B00" w:rsidRDefault="005A4E14" w:rsidP="00BD4B00">
            <w:pPr>
              <w:spacing w:line="360" w:lineRule="auto"/>
              <w:jc w:val="right"/>
              <w:rPr>
                <w:rFonts w:asciiTheme="majorBidi" w:hAnsiTheme="majorBidi" w:cstheme="majorBidi"/>
                <w:sz w:val="18"/>
                <w:szCs w:val="18"/>
              </w:rPr>
            </w:pPr>
            <w:r w:rsidRPr="00BD4B00">
              <w:rPr>
                <w:rFonts w:asciiTheme="majorBidi" w:hAnsiTheme="majorBidi" w:cstheme="majorBidi"/>
                <w:sz w:val="18"/>
                <w:szCs w:val="18"/>
                <w:rtl/>
              </w:rPr>
              <w:t>36,7</w:t>
            </w:r>
            <w:r w:rsidR="003963DC" w:rsidRPr="00BD4B00">
              <w:rPr>
                <w:rFonts w:asciiTheme="majorBidi" w:hAnsiTheme="majorBidi" w:cstheme="majorBidi"/>
                <w:sz w:val="18"/>
                <w:szCs w:val="18"/>
              </w:rPr>
              <w:t>%</w:t>
            </w:r>
          </w:p>
        </w:tc>
        <w:tc>
          <w:tcPr>
            <w:tcW w:w="707" w:type="dxa"/>
            <w:tcBorders>
              <w:top w:val="nil"/>
              <w:left w:val="nil"/>
              <w:bottom w:val="single" w:sz="4" w:space="0" w:color="auto"/>
              <w:right w:val="single" w:sz="4" w:space="0" w:color="auto"/>
            </w:tcBorders>
            <w:shd w:val="clear" w:color="auto" w:fill="auto"/>
            <w:noWrap/>
            <w:vAlign w:val="center"/>
            <w:hideMark/>
          </w:tcPr>
          <w:p w:rsidR="003963DC" w:rsidRPr="00BD4B00" w:rsidRDefault="005A4E14" w:rsidP="00BD4B00">
            <w:pPr>
              <w:spacing w:line="360" w:lineRule="auto"/>
              <w:jc w:val="center"/>
              <w:rPr>
                <w:rFonts w:asciiTheme="majorBidi" w:hAnsiTheme="majorBidi" w:cstheme="majorBidi"/>
                <w:b/>
                <w:bCs/>
                <w:color w:val="000000"/>
                <w:sz w:val="20"/>
                <w:szCs w:val="20"/>
              </w:rPr>
            </w:pPr>
            <w:r w:rsidRPr="00BD4B00">
              <w:rPr>
                <w:rFonts w:asciiTheme="majorBidi" w:hAnsiTheme="majorBidi" w:cstheme="majorBidi"/>
                <w:b/>
                <w:bCs/>
                <w:color w:val="000000"/>
                <w:sz w:val="20"/>
                <w:szCs w:val="20"/>
                <w:rtl/>
              </w:rPr>
              <w:t>24,0</w:t>
            </w:r>
          </w:p>
        </w:tc>
        <w:tc>
          <w:tcPr>
            <w:tcW w:w="677" w:type="dxa"/>
            <w:tcBorders>
              <w:top w:val="nil"/>
              <w:left w:val="nil"/>
              <w:bottom w:val="single" w:sz="4" w:space="0" w:color="auto"/>
              <w:right w:val="single" w:sz="4" w:space="0" w:color="auto"/>
            </w:tcBorders>
            <w:shd w:val="clear" w:color="auto" w:fill="auto"/>
            <w:noWrap/>
            <w:vAlign w:val="center"/>
            <w:hideMark/>
          </w:tcPr>
          <w:p w:rsidR="003963DC" w:rsidRPr="00BD4B00" w:rsidRDefault="003963DC" w:rsidP="00BD4B00">
            <w:pPr>
              <w:widowControl/>
              <w:autoSpaceDE/>
              <w:autoSpaceDN/>
              <w:adjustRightInd/>
              <w:spacing w:line="360" w:lineRule="auto"/>
              <w:jc w:val="center"/>
              <w:rPr>
                <w:rFonts w:asciiTheme="majorBidi" w:hAnsiTheme="majorBidi" w:cstheme="majorBidi"/>
                <w:sz w:val="20"/>
                <w:szCs w:val="20"/>
              </w:rPr>
            </w:pPr>
            <w:r w:rsidRPr="00BD4B00">
              <w:rPr>
                <w:rFonts w:asciiTheme="majorBidi" w:hAnsiTheme="majorBidi" w:cstheme="majorBidi"/>
                <w:sz w:val="20"/>
                <w:szCs w:val="20"/>
              </w:rPr>
              <w:t>18,2%</w:t>
            </w:r>
          </w:p>
        </w:tc>
        <w:tc>
          <w:tcPr>
            <w:tcW w:w="764" w:type="dxa"/>
            <w:tcBorders>
              <w:top w:val="nil"/>
              <w:left w:val="nil"/>
              <w:bottom w:val="single" w:sz="4" w:space="0" w:color="auto"/>
              <w:right w:val="single" w:sz="4" w:space="0" w:color="auto"/>
            </w:tcBorders>
            <w:shd w:val="clear" w:color="auto" w:fill="auto"/>
            <w:noWrap/>
            <w:vAlign w:val="center"/>
            <w:hideMark/>
          </w:tcPr>
          <w:p w:rsidR="003963DC" w:rsidRPr="00BD4B00" w:rsidRDefault="003963DC" w:rsidP="00BD4B00">
            <w:pPr>
              <w:widowControl/>
              <w:autoSpaceDE/>
              <w:autoSpaceDN/>
              <w:adjustRightInd/>
              <w:spacing w:line="360" w:lineRule="auto"/>
              <w:jc w:val="center"/>
              <w:rPr>
                <w:rFonts w:asciiTheme="majorBidi" w:hAnsiTheme="majorBidi" w:cstheme="majorBidi"/>
                <w:sz w:val="20"/>
                <w:szCs w:val="20"/>
              </w:rPr>
            </w:pPr>
            <w:r w:rsidRPr="00BD4B00">
              <w:rPr>
                <w:rFonts w:asciiTheme="majorBidi" w:hAnsiTheme="majorBidi" w:cstheme="majorBidi"/>
                <w:sz w:val="20"/>
                <w:szCs w:val="20"/>
              </w:rPr>
              <w:t>39,6%</w:t>
            </w:r>
          </w:p>
        </w:tc>
        <w:tc>
          <w:tcPr>
            <w:tcW w:w="677" w:type="dxa"/>
            <w:tcBorders>
              <w:top w:val="nil"/>
              <w:left w:val="nil"/>
              <w:bottom w:val="single" w:sz="4" w:space="0" w:color="auto"/>
              <w:right w:val="single" w:sz="4" w:space="0" w:color="auto"/>
            </w:tcBorders>
            <w:shd w:val="clear" w:color="auto" w:fill="auto"/>
            <w:noWrap/>
            <w:vAlign w:val="center"/>
            <w:hideMark/>
          </w:tcPr>
          <w:p w:rsidR="003963DC" w:rsidRPr="00BD4B00" w:rsidRDefault="003963DC" w:rsidP="00BD4B00">
            <w:pPr>
              <w:widowControl/>
              <w:autoSpaceDE/>
              <w:autoSpaceDN/>
              <w:adjustRightInd/>
              <w:spacing w:line="360" w:lineRule="auto"/>
              <w:jc w:val="center"/>
              <w:rPr>
                <w:rFonts w:asciiTheme="majorBidi" w:hAnsiTheme="majorBidi" w:cstheme="majorBidi"/>
                <w:sz w:val="20"/>
                <w:szCs w:val="20"/>
              </w:rPr>
            </w:pPr>
            <w:r w:rsidRPr="00BD4B00">
              <w:rPr>
                <w:rFonts w:asciiTheme="majorBidi" w:hAnsiTheme="majorBidi" w:cstheme="majorBidi"/>
                <w:sz w:val="20"/>
                <w:szCs w:val="20"/>
              </w:rPr>
              <w:t>42,2%</w:t>
            </w:r>
          </w:p>
        </w:tc>
        <w:tc>
          <w:tcPr>
            <w:tcW w:w="2707" w:type="dxa"/>
            <w:tcBorders>
              <w:top w:val="nil"/>
              <w:left w:val="nil"/>
              <w:bottom w:val="single" w:sz="4" w:space="0" w:color="auto"/>
              <w:right w:val="single" w:sz="4" w:space="0" w:color="auto"/>
            </w:tcBorders>
            <w:shd w:val="clear" w:color="auto" w:fill="auto"/>
            <w:noWrap/>
            <w:vAlign w:val="center"/>
            <w:hideMark/>
          </w:tcPr>
          <w:p w:rsidR="003963DC" w:rsidRPr="00BD4B00" w:rsidRDefault="003963DC" w:rsidP="00BD4B00">
            <w:pPr>
              <w:widowControl/>
              <w:autoSpaceDE/>
              <w:autoSpaceDN/>
              <w:bidi/>
              <w:adjustRightInd/>
              <w:spacing w:line="360" w:lineRule="auto"/>
              <w:rPr>
                <w:rFonts w:asciiTheme="majorBidi" w:hAnsiTheme="majorBidi" w:cstheme="majorBidi"/>
                <w:b/>
                <w:bCs/>
                <w:color w:val="000000"/>
              </w:rPr>
            </w:pPr>
            <w:r w:rsidRPr="00BD4B00">
              <w:rPr>
                <w:rFonts w:asciiTheme="majorBidi" w:hAnsiTheme="majorBidi" w:cstheme="majorBidi"/>
                <w:b/>
                <w:bCs/>
                <w:color w:val="000000"/>
                <w:rtl/>
              </w:rPr>
              <w:t>تطور وضعية حقوق الإنسان</w:t>
            </w:r>
          </w:p>
        </w:tc>
      </w:tr>
      <w:tr w:rsidR="003963DC" w:rsidRPr="00BD4B00" w:rsidTr="0003179C">
        <w:trPr>
          <w:trHeight w:val="611"/>
        </w:trPr>
        <w:tc>
          <w:tcPr>
            <w:tcW w:w="934" w:type="dxa"/>
            <w:tcBorders>
              <w:top w:val="nil"/>
              <w:left w:val="single" w:sz="4" w:space="0" w:color="auto"/>
              <w:bottom w:val="single" w:sz="4" w:space="0" w:color="auto"/>
              <w:right w:val="single" w:sz="4" w:space="0" w:color="auto"/>
            </w:tcBorders>
            <w:shd w:val="clear" w:color="auto" w:fill="auto"/>
            <w:noWrap/>
            <w:vAlign w:val="center"/>
            <w:hideMark/>
          </w:tcPr>
          <w:p w:rsidR="003963DC" w:rsidRPr="00BD4B00" w:rsidRDefault="003963DC" w:rsidP="00BD4B00">
            <w:pPr>
              <w:spacing w:line="360" w:lineRule="auto"/>
              <w:jc w:val="center"/>
              <w:rPr>
                <w:rFonts w:asciiTheme="majorBidi" w:hAnsiTheme="majorBidi" w:cstheme="majorBidi"/>
                <w:b/>
                <w:bCs/>
                <w:color w:val="000000"/>
                <w:sz w:val="20"/>
                <w:szCs w:val="20"/>
              </w:rPr>
            </w:pPr>
            <w:r w:rsidRPr="00BD4B00">
              <w:rPr>
                <w:rFonts w:asciiTheme="majorBidi" w:hAnsiTheme="majorBidi" w:cstheme="majorBidi"/>
                <w:b/>
                <w:bCs/>
                <w:color w:val="000000"/>
                <w:sz w:val="20"/>
                <w:szCs w:val="20"/>
              </w:rPr>
              <w:t>-13,0</w:t>
            </w:r>
          </w:p>
        </w:tc>
        <w:tc>
          <w:tcPr>
            <w:tcW w:w="888" w:type="dxa"/>
            <w:tcBorders>
              <w:top w:val="nil"/>
              <w:left w:val="nil"/>
              <w:bottom w:val="single" w:sz="4" w:space="0" w:color="auto"/>
              <w:right w:val="single" w:sz="4" w:space="0" w:color="auto"/>
            </w:tcBorders>
            <w:shd w:val="clear" w:color="auto" w:fill="auto"/>
            <w:noWrap/>
            <w:vAlign w:val="center"/>
            <w:hideMark/>
          </w:tcPr>
          <w:p w:rsidR="003963DC" w:rsidRPr="00BD4B00" w:rsidRDefault="003963DC" w:rsidP="00BD4B00">
            <w:pPr>
              <w:spacing w:line="360" w:lineRule="auto"/>
              <w:jc w:val="right"/>
              <w:rPr>
                <w:rFonts w:asciiTheme="majorBidi" w:hAnsiTheme="majorBidi" w:cstheme="majorBidi"/>
                <w:sz w:val="18"/>
                <w:szCs w:val="18"/>
              </w:rPr>
            </w:pPr>
            <w:r w:rsidRPr="00BD4B00">
              <w:rPr>
                <w:rFonts w:asciiTheme="majorBidi" w:hAnsiTheme="majorBidi" w:cstheme="majorBidi"/>
                <w:sz w:val="18"/>
                <w:szCs w:val="18"/>
              </w:rPr>
              <w:t>43,7%</w:t>
            </w:r>
          </w:p>
        </w:tc>
        <w:tc>
          <w:tcPr>
            <w:tcW w:w="1025" w:type="dxa"/>
            <w:tcBorders>
              <w:top w:val="nil"/>
              <w:left w:val="nil"/>
              <w:bottom w:val="single" w:sz="4" w:space="0" w:color="auto"/>
              <w:right w:val="single" w:sz="4" w:space="0" w:color="auto"/>
            </w:tcBorders>
            <w:shd w:val="clear" w:color="auto" w:fill="auto"/>
            <w:noWrap/>
            <w:vAlign w:val="center"/>
            <w:hideMark/>
          </w:tcPr>
          <w:p w:rsidR="003963DC" w:rsidRPr="00BD4B00" w:rsidRDefault="005A4E14" w:rsidP="00BD4B00">
            <w:pPr>
              <w:spacing w:line="360" w:lineRule="auto"/>
              <w:jc w:val="right"/>
              <w:rPr>
                <w:rFonts w:asciiTheme="majorBidi" w:hAnsiTheme="majorBidi" w:cstheme="majorBidi"/>
                <w:sz w:val="18"/>
                <w:szCs w:val="18"/>
              </w:rPr>
            </w:pPr>
            <w:r w:rsidRPr="00BD4B00">
              <w:rPr>
                <w:rFonts w:asciiTheme="majorBidi" w:hAnsiTheme="majorBidi" w:cstheme="majorBidi"/>
                <w:sz w:val="18"/>
                <w:szCs w:val="18"/>
                <w:rtl/>
              </w:rPr>
              <w:t>25,6</w:t>
            </w:r>
            <w:r w:rsidR="003963DC" w:rsidRPr="00BD4B00">
              <w:rPr>
                <w:rFonts w:asciiTheme="majorBidi" w:hAnsiTheme="majorBidi" w:cstheme="majorBidi"/>
                <w:sz w:val="18"/>
                <w:szCs w:val="18"/>
              </w:rPr>
              <w:t>%</w:t>
            </w:r>
          </w:p>
        </w:tc>
        <w:tc>
          <w:tcPr>
            <w:tcW w:w="888" w:type="dxa"/>
            <w:tcBorders>
              <w:top w:val="nil"/>
              <w:left w:val="nil"/>
              <w:bottom w:val="single" w:sz="4" w:space="0" w:color="auto"/>
              <w:right w:val="single" w:sz="4" w:space="0" w:color="auto"/>
            </w:tcBorders>
            <w:shd w:val="clear" w:color="auto" w:fill="auto"/>
            <w:noWrap/>
            <w:vAlign w:val="center"/>
            <w:hideMark/>
          </w:tcPr>
          <w:p w:rsidR="003963DC" w:rsidRPr="00BD4B00" w:rsidRDefault="003963DC" w:rsidP="00BD4B00">
            <w:pPr>
              <w:spacing w:line="360" w:lineRule="auto"/>
              <w:jc w:val="right"/>
              <w:rPr>
                <w:rFonts w:asciiTheme="majorBidi" w:hAnsiTheme="majorBidi" w:cstheme="majorBidi"/>
                <w:sz w:val="18"/>
                <w:szCs w:val="18"/>
              </w:rPr>
            </w:pPr>
            <w:r w:rsidRPr="00BD4B00">
              <w:rPr>
                <w:rFonts w:asciiTheme="majorBidi" w:hAnsiTheme="majorBidi" w:cstheme="majorBidi"/>
                <w:sz w:val="18"/>
                <w:szCs w:val="18"/>
              </w:rPr>
              <w:t>30,7%</w:t>
            </w:r>
          </w:p>
        </w:tc>
        <w:tc>
          <w:tcPr>
            <w:tcW w:w="707" w:type="dxa"/>
            <w:tcBorders>
              <w:top w:val="nil"/>
              <w:left w:val="nil"/>
              <w:bottom w:val="single" w:sz="4" w:space="0" w:color="auto"/>
              <w:right w:val="single" w:sz="4" w:space="0" w:color="auto"/>
            </w:tcBorders>
            <w:shd w:val="clear" w:color="auto" w:fill="auto"/>
            <w:noWrap/>
            <w:vAlign w:val="center"/>
            <w:hideMark/>
          </w:tcPr>
          <w:p w:rsidR="003963DC" w:rsidRPr="00BD4B00" w:rsidRDefault="003963DC" w:rsidP="00BD4B00">
            <w:pPr>
              <w:spacing w:line="360" w:lineRule="auto"/>
              <w:jc w:val="center"/>
              <w:rPr>
                <w:rFonts w:asciiTheme="majorBidi" w:hAnsiTheme="majorBidi" w:cstheme="majorBidi"/>
                <w:b/>
                <w:bCs/>
                <w:color w:val="000000"/>
                <w:sz w:val="20"/>
                <w:szCs w:val="20"/>
              </w:rPr>
            </w:pPr>
            <w:r w:rsidRPr="00BD4B00">
              <w:rPr>
                <w:rFonts w:asciiTheme="majorBidi" w:hAnsiTheme="majorBidi" w:cstheme="majorBidi"/>
                <w:b/>
                <w:bCs/>
                <w:color w:val="000000"/>
                <w:sz w:val="20"/>
                <w:szCs w:val="20"/>
              </w:rPr>
              <w:t>-35,</w:t>
            </w:r>
            <w:r w:rsidR="00A23ACB" w:rsidRPr="00BD4B00">
              <w:rPr>
                <w:rFonts w:asciiTheme="majorBidi" w:hAnsiTheme="majorBidi" w:cstheme="majorBidi"/>
                <w:b/>
                <w:bCs/>
                <w:color w:val="000000"/>
                <w:sz w:val="20"/>
                <w:szCs w:val="20"/>
                <w:rtl/>
              </w:rPr>
              <w:t>3</w:t>
            </w:r>
          </w:p>
        </w:tc>
        <w:tc>
          <w:tcPr>
            <w:tcW w:w="677" w:type="dxa"/>
            <w:tcBorders>
              <w:top w:val="nil"/>
              <w:left w:val="nil"/>
              <w:bottom w:val="single" w:sz="4" w:space="0" w:color="auto"/>
              <w:right w:val="single" w:sz="4" w:space="0" w:color="auto"/>
            </w:tcBorders>
            <w:shd w:val="clear" w:color="auto" w:fill="auto"/>
            <w:noWrap/>
            <w:vAlign w:val="center"/>
            <w:hideMark/>
          </w:tcPr>
          <w:p w:rsidR="003963DC" w:rsidRPr="00BD4B00" w:rsidRDefault="003963DC" w:rsidP="00BD4B00">
            <w:pPr>
              <w:widowControl/>
              <w:autoSpaceDE/>
              <w:autoSpaceDN/>
              <w:adjustRightInd/>
              <w:spacing w:line="360" w:lineRule="auto"/>
              <w:jc w:val="center"/>
              <w:rPr>
                <w:rFonts w:asciiTheme="majorBidi" w:hAnsiTheme="majorBidi" w:cstheme="majorBidi"/>
                <w:sz w:val="20"/>
                <w:szCs w:val="20"/>
              </w:rPr>
            </w:pPr>
            <w:r w:rsidRPr="00BD4B00">
              <w:rPr>
                <w:rFonts w:asciiTheme="majorBidi" w:hAnsiTheme="majorBidi" w:cstheme="majorBidi"/>
                <w:sz w:val="20"/>
                <w:szCs w:val="20"/>
              </w:rPr>
              <w:t>56,9%</w:t>
            </w:r>
          </w:p>
        </w:tc>
        <w:tc>
          <w:tcPr>
            <w:tcW w:w="764" w:type="dxa"/>
            <w:tcBorders>
              <w:top w:val="nil"/>
              <w:left w:val="nil"/>
              <w:bottom w:val="single" w:sz="4" w:space="0" w:color="auto"/>
              <w:right w:val="single" w:sz="4" w:space="0" w:color="auto"/>
            </w:tcBorders>
            <w:shd w:val="clear" w:color="auto" w:fill="auto"/>
            <w:noWrap/>
            <w:vAlign w:val="center"/>
            <w:hideMark/>
          </w:tcPr>
          <w:p w:rsidR="003963DC" w:rsidRPr="00BD4B00" w:rsidRDefault="003963DC" w:rsidP="00BD4B00">
            <w:pPr>
              <w:widowControl/>
              <w:autoSpaceDE/>
              <w:autoSpaceDN/>
              <w:adjustRightInd/>
              <w:spacing w:line="360" w:lineRule="auto"/>
              <w:jc w:val="center"/>
              <w:rPr>
                <w:rFonts w:asciiTheme="majorBidi" w:hAnsiTheme="majorBidi" w:cstheme="majorBidi"/>
                <w:sz w:val="20"/>
                <w:szCs w:val="20"/>
              </w:rPr>
            </w:pPr>
            <w:r w:rsidRPr="00BD4B00">
              <w:rPr>
                <w:rFonts w:asciiTheme="majorBidi" w:hAnsiTheme="majorBidi" w:cstheme="majorBidi"/>
                <w:sz w:val="20"/>
                <w:szCs w:val="20"/>
              </w:rPr>
              <w:t>21,5%</w:t>
            </w:r>
          </w:p>
        </w:tc>
        <w:tc>
          <w:tcPr>
            <w:tcW w:w="677" w:type="dxa"/>
            <w:tcBorders>
              <w:top w:val="nil"/>
              <w:left w:val="nil"/>
              <w:bottom w:val="single" w:sz="4" w:space="0" w:color="auto"/>
              <w:right w:val="single" w:sz="4" w:space="0" w:color="auto"/>
            </w:tcBorders>
            <w:shd w:val="clear" w:color="auto" w:fill="auto"/>
            <w:noWrap/>
            <w:vAlign w:val="center"/>
            <w:hideMark/>
          </w:tcPr>
          <w:p w:rsidR="003963DC" w:rsidRPr="00BD4B00" w:rsidRDefault="005A4E14" w:rsidP="00BD4B00">
            <w:pPr>
              <w:widowControl/>
              <w:autoSpaceDE/>
              <w:autoSpaceDN/>
              <w:adjustRightInd/>
              <w:spacing w:line="360" w:lineRule="auto"/>
              <w:jc w:val="center"/>
              <w:rPr>
                <w:rFonts w:asciiTheme="majorBidi" w:hAnsiTheme="majorBidi" w:cstheme="majorBidi"/>
                <w:sz w:val="20"/>
                <w:szCs w:val="20"/>
              </w:rPr>
            </w:pPr>
            <w:r w:rsidRPr="00BD4B00">
              <w:rPr>
                <w:rFonts w:asciiTheme="majorBidi" w:hAnsiTheme="majorBidi" w:cstheme="majorBidi"/>
                <w:sz w:val="20"/>
                <w:szCs w:val="20"/>
                <w:rtl/>
              </w:rPr>
              <w:t>21,6</w:t>
            </w:r>
            <w:r w:rsidR="003963DC" w:rsidRPr="00BD4B00">
              <w:rPr>
                <w:rFonts w:asciiTheme="majorBidi" w:hAnsiTheme="majorBidi" w:cstheme="majorBidi"/>
                <w:sz w:val="20"/>
                <w:szCs w:val="20"/>
              </w:rPr>
              <w:t>%</w:t>
            </w:r>
          </w:p>
        </w:tc>
        <w:tc>
          <w:tcPr>
            <w:tcW w:w="2707" w:type="dxa"/>
            <w:tcBorders>
              <w:top w:val="nil"/>
              <w:left w:val="nil"/>
              <w:bottom w:val="single" w:sz="4" w:space="0" w:color="auto"/>
              <w:right w:val="single" w:sz="4" w:space="0" w:color="auto"/>
            </w:tcBorders>
            <w:shd w:val="clear" w:color="auto" w:fill="auto"/>
            <w:noWrap/>
            <w:vAlign w:val="center"/>
            <w:hideMark/>
          </w:tcPr>
          <w:p w:rsidR="003963DC" w:rsidRPr="00BD4B00" w:rsidRDefault="003963DC" w:rsidP="00BD4B00">
            <w:pPr>
              <w:widowControl/>
              <w:autoSpaceDE/>
              <w:autoSpaceDN/>
              <w:bidi/>
              <w:adjustRightInd/>
              <w:spacing w:line="360" w:lineRule="auto"/>
              <w:rPr>
                <w:rFonts w:asciiTheme="majorBidi" w:hAnsiTheme="majorBidi" w:cstheme="majorBidi"/>
                <w:b/>
                <w:bCs/>
                <w:color w:val="000000"/>
              </w:rPr>
            </w:pPr>
            <w:r w:rsidRPr="00BD4B00">
              <w:rPr>
                <w:rFonts w:asciiTheme="majorBidi" w:hAnsiTheme="majorBidi" w:cstheme="majorBidi"/>
                <w:b/>
                <w:bCs/>
                <w:color w:val="000000"/>
                <w:rtl/>
              </w:rPr>
              <w:t>تطور جودة خدمات التعليم</w:t>
            </w:r>
          </w:p>
        </w:tc>
      </w:tr>
      <w:tr w:rsidR="003963DC" w:rsidRPr="00BD4B00" w:rsidTr="0003179C">
        <w:trPr>
          <w:trHeight w:val="611"/>
        </w:trPr>
        <w:tc>
          <w:tcPr>
            <w:tcW w:w="934" w:type="dxa"/>
            <w:tcBorders>
              <w:top w:val="nil"/>
              <w:left w:val="single" w:sz="4" w:space="0" w:color="auto"/>
              <w:bottom w:val="single" w:sz="4" w:space="0" w:color="auto"/>
              <w:right w:val="single" w:sz="4" w:space="0" w:color="auto"/>
            </w:tcBorders>
            <w:shd w:val="clear" w:color="auto" w:fill="auto"/>
            <w:noWrap/>
            <w:vAlign w:val="center"/>
            <w:hideMark/>
          </w:tcPr>
          <w:p w:rsidR="003963DC" w:rsidRPr="00BD4B00" w:rsidRDefault="003963DC" w:rsidP="00BD4B00">
            <w:pPr>
              <w:spacing w:line="360" w:lineRule="auto"/>
              <w:jc w:val="center"/>
              <w:rPr>
                <w:rFonts w:asciiTheme="majorBidi" w:hAnsiTheme="majorBidi" w:cstheme="majorBidi"/>
                <w:b/>
                <w:bCs/>
                <w:color w:val="000000"/>
                <w:sz w:val="20"/>
                <w:szCs w:val="20"/>
              </w:rPr>
            </w:pPr>
            <w:r w:rsidRPr="00BD4B00">
              <w:rPr>
                <w:rFonts w:asciiTheme="majorBidi" w:hAnsiTheme="majorBidi" w:cstheme="majorBidi"/>
                <w:b/>
                <w:bCs/>
                <w:color w:val="000000"/>
                <w:sz w:val="20"/>
                <w:szCs w:val="20"/>
              </w:rPr>
              <w:t>-48,2</w:t>
            </w:r>
          </w:p>
        </w:tc>
        <w:tc>
          <w:tcPr>
            <w:tcW w:w="888" w:type="dxa"/>
            <w:tcBorders>
              <w:top w:val="nil"/>
              <w:left w:val="nil"/>
              <w:bottom w:val="single" w:sz="4" w:space="0" w:color="auto"/>
              <w:right w:val="single" w:sz="4" w:space="0" w:color="auto"/>
            </w:tcBorders>
            <w:shd w:val="clear" w:color="auto" w:fill="auto"/>
            <w:noWrap/>
            <w:vAlign w:val="center"/>
            <w:hideMark/>
          </w:tcPr>
          <w:p w:rsidR="003963DC" w:rsidRPr="00BD4B00" w:rsidRDefault="003963DC" w:rsidP="00BD4B00">
            <w:pPr>
              <w:spacing w:line="360" w:lineRule="auto"/>
              <w:jc w:val="right"/>
              <w:rPr>
                <w:rFonts w:asciiTheme="majorBidi" w:hAnsiTheme="majorBidi" w:cstheme="majorBidi"/>
                <w:sz w:val="18"/>
                <w:szCs w:val="18"/>
              </w:rPr>
            </w:pPr>
            <w:r w:rsidRPr="00BD4B00">
              <w:rPr>
                <w:rFonts w:asciiTheme="majorBidi" w:hAnsiTheme="majorBidi" w:cstheme="majorBidi"/>
                <w:sz w:val="18"/>
                <w:szCs w:val="18"/>
              </w:rPr>
              <w:t>60,8%</w:t>
            </w:r>
          </w:p>
        </w:tc>
        <w:tc>
          <w:tcPr>
            <w:tcW w:w="1025" w:type="dxa"/>
            <w:tcBorders>
              <w:top w:val="nil"/>
              <w:left w:val="nil"/>
              <w:bottom w:val="single" w:sz="4" w:space="0" w:color="auto"/>
              <w:right w:val="single" w:sz="4" w:space="0" w:color="auto"/>
            </w:tcBorders>
            <w:shd w:val="clear" w:color="auto" w:fill="auto"/>
            <w:noWrap/>
            <w:vAlign w:val="center"/>
            <w:hideMark/>
          </w:tcPr>
          <w:p w:rsidR="003963DC" w:rsidRPr="00BD4B00" w:rsidRDefault="003963DC" w:rsidP="00BD4B00">
            <w:pPr>
              <w:spacing w:line="360" w:lineRule="auto"/>
              <w:jc w:val="right"/>
              <w:rPr>
                <w:rFonts w:asciiTheme="majorBidi" w:hAnsiTheme="majorBidi" w:cstheme="majorBidi"/>
                <w:sz w:val="18"/>
                <w:szCs w:val="18"/>
              </w:rPr>
            </w:pPr>
            <w:r w:rsidRPr="00BD4B00">
              <w:rPr>
                <w:rFonts w:asciiTheme="majorBidi" w:hAnsiTheme="majorBidi" w:cstheme="majorBidi"/>
                <w:sz w:val="18"/>
                <w:szCs w:val="18"/>
              </w:rPr>
              <w:t>26,</w:t>
            </w:r>
            <w:r w:rsidR="00A23ACB" w:rsidRPr="00BD4B00">
              <w:rPr>
                <w:rFonts w:asciiTheme="majorBidi" w:hAnsiTheme="majorBidi" w:cstheme="majorBidi"/>
                <w:sz w:val="18"/>
                <w:szCs w:val="18"/>
                <w:rtl/>
              </w:rPr>
              <w:t>6</w:t>
            </w:r>
            <w:r w:rsidRPr="00BD4B00">
              <w:rPr>
                <w:rFonts w:asciiTheme="majorBidi" w:hAnsiTheme="majorBidi" w:cstheme="majorBidi"/>
                <w:sz w:val="18"/>
                <w:szCs w:val="18"/>
              </w:rPr>
              <w:t>%</w:t>
            </w:r>
          </w:p>
        </w:tc>
        <w:tc>
          <w:tcPr>
            <w:tcW w:w="888" w:type="dxa"/>
            <w:tcBorders>
              <w:top w:val="nil"/>
              <w:left w:val="nil"/>
              <w:bottom w:val="single" w:sz="4" w:space="0" w:color="auto"/>
              <w:right w:val="single" w:sz="4" w:space="0" w:color="auto"/>
            </w:tcBorders>
            <w:shd w:val="clear" w:color="auto" w:fill="auto"/>
            <w:noWrap/>
            <w:vAlign w:val="center"/>
            <w:hideMark/>
          </w:tcPr>
          <w:p w:rsidR="003963DC" w:rsidRPr="00BD4B00" w:rsidRDefault="003963DC" w:rsidP="00BD4B00">
            <w:pPr>
              <w:spacing w:line="360" w:lineRule="auto"/>
              <w:jc w:val="right"/>
              <w:rPr>
                <w:rFonts w:asciiTheme="majorBidi" w:hAnsiTheme="majorBidi" w:cstheme="majorBidi"/>
                <w:sz w:val="18"/>
                <w:szCs w:val="18"/>
              </w:rPr>
            </w:pPr>
            <w:r w:rsidRPr="00BD4B00">
              <w:rPr>
                <w:rFonts w:asciiTheme="majorBidi" w:hAnsiTheme="majorBidi" w:cstheme="majorBidi"/>
                <w:sz w:val="18"/>
                <w:szCs w:val="18"/>
              </w:rPr>
              <w:t>12,6%</w:t>
            </w:r>
          </w:p>
        </w:tc>
        <w:tc>
          <w:tcPr>
            <w:tcW w:w="707" w:type="dxa"/>
            <w:tcBorders>
              <w:top w:val="nil"/>
              <w:left w:val="nil"/>
              <w:bottom w:val="single" w:sz="4" w:space="0" w:color="auto"/>
              <w:right w:val="single" w:sz="4" w:space="0" w:color="auto"/>
            </w:tcBorders>
            <w:shd w:val="clear" w:color="auto" w:fill="auto"/>
            <w:noWrap/>
            <w:vAlign w:val="center"/>
            <w:hideMark/>
          </w:tcPr>
          <w:p w:rsidR="003963DC" w:rsidRPr="00BD4B00" w:rsidRDefault="003963DC" w:rsidP="00BD4B00">
            <w:pPr>
              <w:spacing w:line="360" w:lineRule="auto"/>
              <w:jc w:val="center"/>
              <w:rPr>
                <w:rFonts w:asciiTheme="majorBidi" w:hAnsiTheme="majorBidi" w:cstheme="majorBidi"/>
                <w:b/>
                <w:bCs/>
                <w:color w:val="000000"/>
                <w:sz w:val="20"/>
                <w:szCs w:val="20"/>
              </w:rPr>
            </w:pPr>
            <w:r w:rsidRPr="00BD4B00">
              <w:rPr>
                <w:rFonts w:asciiTheme="majorBidi" w:hAnsiTheme="majorBidi" w:cstheme="majorBidi"/>
                <w:b/>
                <w:bCs/>
                <w:color w:val="000000"/>
                <w:sz w:val="20"/>
                <w:szCs w:val="20"/>
              </w:rPr>
              <w:t>-45,9</w:t>
            </w:r>
          </w:p>
        </w:tc>
        <w:tc>
          <w:tcPr>
            <w:tcW w:w="677" w:type="dxa"/>
            <w:tcBorders>
              <w:top w:val="nil"/>
              <w:left w:val="nil"/>
              <w:bottom w:val="single" w:sz="4" w:space="0" w:color="auto"/>
              <w:right w:val="single" w:sz="4" w:space="0" w:color="auto"/>
            </w:tcBorders>
            <w:shd w:val="clear" w:color="auto" w:fill="auto"/>
            <w:noWrap/>
            <w:vAlign w:val="center"/>
            <w:hideMark/>
          </w:tcPr>
          <w:p w:rsidR="003963DC" w:rsidRPr="00BD4B00" w:rsidRDefault="003963DC" w:rsidP="00BD4B00">
            <w:pPr>
              <w:widowControl/>
              <w:autoSpaceDE/>
              <w:autoSpaceDN/>
              <w:adjustRightInd/>
              <w:spacing w:line="360" w:lineRule="auto"/>
              <w:jc w:val="center"/>
              <w:rPr>
                <w:rFonts w:asciiTheme="majorBidi" w:hAnsiTheme="majorBidi" w:cstheme="majorBidi"/>
                <w:sz w:val="20"/>
                <w:szCs w:val="20"/>
              </w:rPr>
            </w:pPr>
            <w:r w:rsidRPr="00BD4B00">
              <w:rPr>
                <w:rFonts w:asciiTheme="majorBidi" w:hAnsiTheme="majorBidi" w:cstheme="majorBidi"/>
                <w:sz w:val="20"/>
                <w:szCs w:val="20"/>
              </w:rPr>
              <w:t>61,0%</w:t>
            </w:r>
          </w:p>
        </w:tc>
        <w:tc>
          <w:tcPr>
            <w:tcW w:w="764" w:type="dxa"/>
            <w:tcBorders>
              <w:top w:val="nil"/>
              <w:left w:val="nil"/>
              <w:bottom w:val="single" w:sz="4" w:space="0" w:color="auto"/>
              <w:right w:val="single" w:sz="4" w:space="0" w:color="auto"/>
            </w:tcBorders>
            <w:shd w:val="clear" w:color="auto" w:fill="auto"/>
            <w:noWrap/>
            <w:vAlign w:val="center"/>
            <w:hideMark/>
          </w:tcPr>
          <w:p w:rsidR="003963DC" w:rsidRPr="00BD4B00" w:rsidRDefault="003963DC" w:rsidP="00BD4B00">
            <w:pPr>
              <w:widowControl/>
              <w:autoSpaceDE/>
              <w:autoSpaceDN/>
              <w:adjustRightInd/>
              <w:spacing w:line="360" w:lineRule="auto"/>
              <w:jc w:val="center"/>
              <w:rPr>
                <w:rFonts w:asciiTheme="majorBidi" w:hAnsiTheme="majorBidi" w:cstheme="majorBidi"/>
                <w:sz w:val="20"/>
                <w:szCs w:val="20"/>
              </w:rPr>
            </w:pPr>
            <w:r w:rsidRPr="00BD4B00">
              <w:rPr>
                <w:rFonts w:asciiTheme="majorBidi" w:hAnsiTheme="majorBidi" w:cstheme="majorBidi"/>
                <w:sz w:val="20"/>
                <w:szCs w:val="20"/>
              </w:rPr>
              <w:t>23,9%</w:t>
            </w:r>
          </w:p>
        </w:tc>
        <w:tc>
          <w:tcPr>
            <w:tcW w:w="677" w:type="dxa"/>
            <w:tcBorders>
              <w:top w:val="nil"/>
              <w:left w:val="nil"/>
              <w:bottom w:val="single" w:sz="4" w:space="0" w:color="auto"/>
              <w:right w:val="single" w:sz="4" w:space="0" w:color="auto"/>
            </w:tcBorders>
            <w:shd w:val="clear" w:color="auto" w:fill="auto"/>
            <w:noWrap/>
            <w:vAlign w:val="center"/>
            <w:hideMark/>
          </w:tcPr>
          <w:p w:rsidR="003963DC" w:rsidRPr="00BD4B00" w:rsidRDefault="003963DC" w:rsidP="00BD4B00">
            <w:pPr>
              <w:widowControl/>
              <w:autoSpaceDE/>
              <w:autoSpaceDN/>
              <w:adjustRightInd/>
              <w:spacing w:line="360" w:lineRule="auto"/>
              <w:jc w:val="center"/>
              <w:rPr>
                <w:rFonts w:asciiTheme="majorBidi" w:hAnsiTheme="majorBidi" w:cstheme="majorBidi"/>
                <w:sz w:val="20"/>
                <w:szCs w:val="20"/>
              </w:rPr>
            </w:pPr>
            <w:r w:rsidRPr="00BD4B00">
              <w:rPr>
                <w:rFonts w:asciiTheme="majorBidi" w:hAnsiTheme="majorBidi" w:cstheme="majorBidi"/>
                <w:sz w:val="20"/>
                <w:szCs w:val="20"/>
              </w:rPr>
              <w:t>15,1%</w:t>
            </w:r>
          </w:p>
        </w:tc>
        <w:tc>
          <w:tcPr>
            <w:tcW w:w="2707" w:type="dxa"/>
            <w:tcBorders>
              <w:top w:val="nil"/>
              <w:left w:val="nil"/>
              <w:bottom w:val="single" w:sz="4" w:space="0" w:color="auto"/>
              <w:right w:val="single" w:sz="4" w:space="0" w:color="auto"/>
            </w:tcBorders>
            <w:shd w:val="clear" w:color="auto" w:fill="auto"/>
            <w:noWrap/>
            <w:vAlign w:val="center"/>
            <w:hideMark/>
          </w:tcPr>
          <w:p w:rsidR="003963DC" w:rsidRPr="00BD4B00" w:rsidRDefault="003963DC" w:rsidP="00BD4B00">
            <w:pPr>
              <w:widowControl/>
              <w:autoSpaceDE/>
              <w:autoSpaceDN/>
              <w:bidi/>
              <w:adjustRightInd/>
              <w:spacing w:line="360" w:lineRule="auto"/>
              <w:rPr>
                <w:rFonts w:asciiTheme="majorBidi" w:hAnsiTheme="majorBidi" w:cstheme="majorBidi"/>
                <w:b/>
                <w:bCs/>
                <w:color w:val="000000"/>
              </w:rPr>
            </w:pPr>
            <w:r w:rsidRPr="00BD4B00">
              <w:rPr>
                <w:rFonts w:asciiTheme="majorBidi" w:hAnsiTheme="majorBidi" w:cstheme="majorBidi"/>
                <w:b/>
                <w:bCs/>
                <w:color w:val="000000"/>
                <w:rtl/>
              </w:rPr>
              <w:t>تطور جودة الخدمات الصحية</w:t>
            </w:r>
          </w:p>
        </w:tc>
      </w:tr>
    </w:tbl>
    <w:p w:rsidR="00B5783F" w:rsidRPr="00BD4B00" w:rsidRDefault="005A4E14" w:rsidP="00BD4B00">
      <w:pPr>
        <w:shd w:val="clear" w:color="auto" w:fill="FFFFFF" w:themeFill="background1"/>
        <w:bidi/>
        <w:spacing w:line="360" w:lineRule="auto"/>
        <w:jc w:val="both"/>
        <w:rPr>
          <w:rFonts w:asciiTheme="majorBidi" w:hAnsiTheme="majorBidi" w:cstheme="majorBidi"/>
          <w:b/>
          <w:bCs/>
          <w:sz w:val="22"/>
          <w:szCs w:val="22"/>
        </w:rPr>
      </w:pPr>
      <w:r w:rsidRPr="00BD4B00">
        <w:rPr>
          <w:rFonts w:asciiTheme="majorBidi" w:hAnsiTheme="majorBidi" w:cstheme="majorBidi"/>
          <w:b/>
          <w:bCs/>
          <w:color w:val="202124"/>
          <w:sz w:val="22"/>
          <w:szCs w:val="22"/>
          <w:rtl/>
        </w:rPr>
        <w:t xml:space="preserve">  </w:t>
      </w:r>
      <w:r w:rsidR="00B5783F" w:rsidRPr="00BD4B00">
        <w:rPr>
          <w:rFonts w:asciiTheme="majorBidi" w:hAnsiTheme="majorBidi" w:cstheme="majorBidi"/>
          <w:b/>
          <w:bCs/>
          <w:color w:val="202124"/>
          <w:sz w:val="22"/>
          <w:szCs w:val="22"/>
          <w:rtl/>
        </w:rPr>
        <w:t>المصدر</w:t>
      </w:r>
      <w:r w:rsidR="00B5783F" w:rsidRPr="00BD4B00">
        <w:rPr>
          <w:rFonts w:asciiTheme="majorBidi" w:hAnsiTheme="majorBidi" w:cstheme="majorBidi"/>
          <w:b/>
          <w:bCs/>
          <w:color w:val="202124"/>
          <w:sz w:val="22"/>
          <w:szCs w:val="22"/>
        </w:rPr>
        <w:t xml:space="preserve">: </w:t>
      </w:r>
      <w:r w:rsidR="00B5783F" w:rsidRPr="00BD4B00">
        <w:rPr>
          <w:rFonts w:asciiTheme="majorBidi" w:hAnsiTheme="majorBidi" w:cstheme="majorBidi"/>
          <w:b/>
          <w:bCs/>
          <w:color w:val="202124"/>
          <w:sz w:val="22"/>
          <w:szCs w:val="22"/>
          <w:rtl/>
        </w:rPr>
        <w:t>المندوبية السامية للتخطيط، البحث الوطني الدائم حول الظرفية لدى الأسر</w:t>
      </w:r>
    </w:p>
    <w:p w:rsidR="00FA38A7" w:rsidRPr="00BD4B00" w:rsidRDefault="00FA38A7" w:rsidP="00BD4B00">
      <w:pPr>
        <w:bidi/>
        <w:spacing w:line="360" w:lineRule="auto"/>
        <w:jc w:val="both"/>
        <w:rPr>
          <w:rFonts w:asciiTheme="majorBidi" w:hAnsiTheme="majorBidi" w:cstheme="majorBidi"/>
          <w:sz w:val="32"/>
          <w:szCs w:val="32"/>
          <w:rtl/>
          <w:lang w:bidi="ar-MA"/>
        </w:rPr>
      </w:pPr>
    </w:p>
    <w:p w:rsidR="00B5783F" w:rsidRDefault="00B5783F" w:rsidP="00BD4B00">
      <w:pPr>
        <w:bidi/>
        <w:spacing w:line="360" w:lineRule="auto"/>
        <w:jc w:val="both"/>
        <w:rPr>
          <w:rFonts w:asciiTheme="majorBidi" w:hAnsiTheme="majorBidi" w:cstheme="majorBidi"/>
          <w:sz w:val="32"/>
          <w:szCs w:val="32"/>
          <w:rtl/>
          <w:lang w:bidi="ar-MA"/>
        </w:rPr>
      </w:pPr>
    </w:p>
    <w:p w:rsidR="00BD4B00" w:rsidRDefault="00BD4B00" w:rsidP="00BD4B00">
      <w:pPr>
        <w:bidi/>
        <w:spacing w:line="360" w:lineRule="auto"/>
        <w:jc w:val="both"/>
        <w:rPr>
          <w:rFonts w:asciiTheme="majorBidi" w:hAnsiTheme="majorBidi" w:cstheme="majorBidi"/>
          <w:sz w:val="32"/>
          <w:szCs w:val="32"/>
          <w:rtl/>
          <w:lang w:bidi="ar-MA"/>
        </w:rPr>
      </w:pPr>
    </w:p>
    <w:p w:rsidR="00BD4B00" w:rsidRDefault="00BD4B00" w:rsidP="00BD4B00">
      <w:pPr>
        <w:bidi/>
        <w:spacing w:line="360" w:lineRule="auto"/>
        <w:jc w:val="both"/>
        <w:rPr>
          <w:rFonts w:asciiTheme="majorBidi" w:hAnsiTheme="majorBidi" w:cstheme="majorBidi"/>
          <w:sz w:val="32"/>
          <w:szCs w:val="32"/>
          <w:rtl/>
          <w:lang w:bidi="ar-MA"/>
        </w:rPr>
      </w:pPr>
    </w:p>
    <w:p w:rsidR="00BD4B00" w:rsidRDefault="00BD4B00" w:rsidP="00BD4B00">
      <w:pPr>
        <w:bidi/>
        <w:spacing w:line="360" w:lineRule="auto"/>
        <w:jc w:val="both"/>
        <w:rPr>
          <w:rFonts w:asciiTheme="majorBidi" w:hAnsiTheme="majorBidi" w:cstheme="majorBidi"/>
          <w:sz w:val="32"/>
          <w:szCs w:val="32"/>
          <w:rtl/>
          <w:lang w:bidi="ar-MA"/>
        </w:rPr>
      </w:pPr>
    </w:p>
    <w:p w:rsidR="00BD4B00" w:rsidRPr="00BD4B00" w:rsidRDefault="00BD4B00" w:rsidP="00BD4B00">
      <w:pPr>
        <w:bidi/>
        <w:spacing w:line="360" w:lineRule="auto"/>
        <w:jc w:val="both"/>
        <w:rPr>
          <w:rFonts w:asciiTheme="majorBidi" w:hAnsiTheme="majorBidi" w:cstheme="majorBidi"/>
          <w:sz w:val="32"/>
          <w:szCs w:val="32"/>
          <w:rtl/>
          <w:lang w:bidi="ar-MA"/>
        </w:rPr>
      </w:pPr>
    </w:p>
    <w:p w:rsidR="0047396E" w:rsidRPr="00BD4B00" w:rsidRDefault="0047396E" w:rsidP="00BD4B00">
      <w:pPr>
        <w:bidi/>
        <w:spacing w:line="360" w:lineRule="auto"/>
        <w:jc w:val="both"/>
        <w:rPr>
          <w:rFonts w:asciiTheme="majorBidi" w:hAnsiTheme="majorBidi" w:cstheme="majorBidi"/>
          <w:b/>
          <w:bCs/>
          <w:sz w:val="28"/>
          <w:szCs w:val="28"/>
          <w:rtl/>
          <w:lang w:bidi="ar-MA"/>
        </w:rPr>
      </w:pPr>
      <w:r w:rsidRPr="00BD4B00">
        <w:rPr>
          <w:rFonts w:asciiTheme="majorBidi" w:hAnsiTheme="majorBidi" w:cstheme="majorBidi"/>
          <w:b/>
          <w:bCs/>
          <w:sz w:val="28"/>
          <w:szCs w:val="28"/>
          <w:rtl/>
          <w:lang w:bidi="ar-MA"/>
        </w:rPr>
        <w:lastRenderedPageBreak/>
        <w:t xml:space="preserve">فيما يلي تفصيل لنتائج مختلف المؤشرات </w:t>
      </w:r>
      <w:r w:rsidR="00CF15A7" w:rsidRPr="00BD4B00">
        <w:rPr>
          <w:rFonts w:asciiTheme="majorBidi" w:hAnsiTheme="majorBidi" w:cstheme="majorBidi"/>
          <w:b/>
          <w:bCs/>
          <w:sz w:val="28"/>
          <w:szCs w:val="28"/>
          <w:rtl/>
          <w:lang w:bidi="ar-MA"/>
        </w:rPr>
        <w:t>وتذكير بأهم</w:t>
      </w:r>
      <w:r w:rsidRPr="00BD4B00">
        <w:rPr>
          <w:rFonts w:asciiTheme="majorBidi" w:hAnsiTheme="majorBidi" w:cstheme="majorBidi"/>
          <w:b/>
          <w:bCs/>
          <w:sz w:val="28"/>
          <w:szCs w:val="28"/>
          <w:rtl/>
          <w:lang w:bidi="ar-MA"/>
        </w:rPr>
        <w:t xml:space="preserve"> المفاهيم.</w:t>
      </w:r>
    </w:p>
    <w:p w:rsidR="000F5B5D" w:rsidRPr="00BD4B00" w:rsidRDefault="000F5B5D" w:rsidP="00BD4B00">
      <w:pPr>
        <w:bidi/>
        <w:spacing w:line="360" w:lineRule="auto"/>
        <w:jc w:val="both"/>
        <w:rPr>
          <w:rFonts w:asciiTheme="majorBidi" w:hAnsiTheme="majorBidi" w:cstheme="majorBidi"/>
          <w:b/>
          <w:bCs/>
          <w:sz w:val="28"/>
          <w:szCs w:val="28"/>
          <w:rtl/>
          <w:lang w:bidi="ar-MA"/>
        </w:rPr>
      </w:pP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9572"/>
      </w:tblGrid>
      <w:tr w:rsidR="0047396E" w:rsidRPr="00BD4B00" w:rsidTr="00A1303D">
        <w:trPr>
          <w:trHeight w:val="6017"/>
          <w:jc w:val="center"/>
        </w:trPr>
        <w:tc>
          <w:tcPr>
            <w:tcW w:w="5000" w:type="pct"/>
          </w:tcPr>
          <w:p w:rsidR="0047396E" w:rsidRPr="00BD4B00" w:rsidRDefault="0047396E" w:rsidP="00BD4B00">
            <w:pPr>
              <w:bidi/>
              <w:spacing w:line="360" w:lineRule="auto"/>
              <w:ind w:left="360"/>
              <w:jc w:val="both"/>
              <w:rPr>
                <w:rFonts w:asciiTheme="majorBidi" w:hAnsiTheme="majorBidi" w:cstheme="majorBidi"/>
                <w:sz w:val="20"/>
                <w:szCs w:val="20"/>
                <w:rtl/>
                <w:lang w:bidi="ar-MA"/>
              </w:rPr>
            </w:pPr>
          </w:p>
          <w:p w:rsidR="0047396E" w:rsidRPr="00BD4B00" w:rsidRDefault="0047396E" w:rsidP="00BD4B00">
            <w:pPr>
              <w:bidi/>
              <w:spacing w:line="360" w:lineRule="auto"/>
              <w:jc w:val="both"/>
              <w:rPr>
                <w:rFonts w:asciiTheme="majorBidi" w:hAnsiTheme="majorBidi" w:cstheme="majorBidi"/>
                <w:sz w:val="20"/>
                <w:szCs w:val="20"/>
                <w:rtl/>
                <w:lang w:bidi="ar-MA"/>
              </w:rPr>
            </w:pPr>
            <w:r w:rsidRPr="00BD4B00">
              <w:rPr>
                <w:rFonts w:asciiTheme="majorBidi" w:hAnsiTheme="majorBidi" w:cstheme="majorBidi"/>
                <w:sz w:val="20"/>
                <w:szCs w:val="20"/>
                <w:rtl/>
                <w:lang w:bidi="ar-MA"/>
              </w:rPr>
              <w:t xml:space="preserve">         يتم التعبير في الرسوم البيانية عن تطور مكونات مؤشر ثقة الأسر والمؤشرات الأخرى للبحث بأرصدة الآراء </w:t>
            </w:r>
          </w:p>
          <w:p w:rsidR="0047396E" w:rsidRPr="00BD4B00" w:rsidRDefault="0047396E" w:rsidP="00BD4B00">
            <w:pPr>
              <w:bidi/>
              <w:spacing w:line="360" w:lineRule="auto"/>
              <w:ind w:left="360"/>
              <w:jc w:val="both"/>
              <w:rPr>
                <w:rFonts w:asciiTheme="majorBidi" w:hAnsiTheme="majorBidi" w:cstheme="majorBidi"/>
                <w:b/>
                <w:bCs/>
                <w:sz w:val="20"/>
                <w:szCs w:val="20"/>
                <w:rtl/>
                <w:lang w:bidi="ar-MA"/>
              </w:rPr>
            </w:pPr>
            <w:r w:rsidRPr="00BD4B00">
              <w:rPr>
                <w:rFonts w:asciiTheme="majorBidi" w:hAnsiTheme="majorBidi" w:cstheme="majorBidi"/>
                <w:b/>
                <w:bCs/>
                <w:sz w:val="20"/>
                <w:szCs w:val="20"/>
                <w:rtl/>
                <w:lang w:bidi="ar-MA"/>
              </w:rPr>
              <w:t>للتذكير فإن:</w:t>
            </w:r>
          </w:p>
          <w:p w:rsidR="0047396E" w:rsidRPr="00BD4B00" w:rsidRDefault="0047396E" w:rsidP="00BD4B00">
            <w:pPr>
              <w:pStyle w:val="Paragraphedeliste"/>
              <w:numPr>
                <w:ilvl w:val="0"/>
                <w:numId w:val="4"/>
              </w:numPr>
              <w:bidi/>
              <w:spacing w:line="360" w:lineRule="auto"/>
              <w:jc w:val="both"/>
              <w:rPr>
                <w:rFonts w:asciiTheme="majorBidi" w:hAnsiTheme="majorBidi" w:cstheme="majorBidi"/>
                <w:sz w:val="20"/>
                <w:szCs w:val="20"/>
                <w:lang w:bidi="ar-MA"/>
              </w:rPr>
            </w:pPr>
            <w:r w:rsidRPr="00BD4B00">
              <w:rPr>
                <w:rFonts w:asciiTheme="majorBidi" w:hAnsiTheme="majorBidi" w:cstheme="majorBidi"/>
                <w:sz w:val="20"/>
                <w:szCs w:val="20"/>
                <w:rtl/>
                <w:lang w:bidi="ar-MA"/>
              </w:rPr>
              <w:t xml:space="preserve">الأسئلة المطروحة تعتبر كيفية تتم الأجوبة عليها </w:t>
            </w:r>
            <w:r w:rsidR="00CF15A7" w:rsidRPr="00BD4B00">
              <w:rPr>
                <w:rFonts w:asciiTheme="majorBidi" w:hAnsiTheme="majorBidi" w:cstheme="majorBidi"/>
                <w:sz w:val="20"/>
                <w:szCs w:val="20"/>
                <w:rtl/>
                <w:lang w:bidi="ar-MA"/>
              </w:rPr>
              <w:t>بثلاثة خيارات</w:t>
            </w:r>
            <w:r w:rsidRPr="00BD4B00">
              <w:rPr>
                <w:rFonts w:asciiTheme="majorBidi" w:hAnsiTheme="majorBidi" w:cstheme="majorBidi"/>
                <w:sz w:val="20"/>
                <w:szCs w:val="20"/>
                <w:rtl/>
                <w:lang w:bidi="ar-MA"/>
              </w:rPr>
              <w:t xml:space="preserve"> (تحسن، استقرار أو تدهور). تتعلق التغييرات بـ 12 شهرا وتقدم النتائج على شكل أرصدة (الفرق بين نسب الأجوبة "تحسن"</w:t>
            </w:r>
            <w:r w:rsidRPr="00BD4B00">
              <w:rPr>
                <w:rFonts w:asciiTheme="majorBidi" w:hAnsiTheme="majorBidi" w:cstheme="majorBidi"/>
                <w:sz w:val="20"/>
                <w:szCs w:val="20"/>
                <w:lang w:bidi="ar-MA"/>
              </w:rPr>
              <w:t xml:space="preserve"> </w:t>
            </w:r>
            <w:r w:rsidRPr="00BD4B00">
              <w:rPr>
                <w:rFonts w:asciiTheme="majorBidi" w:hAnsiTheme="majorBidi" w:cstheme="majorBidi"/>
                <w:sz w:val="20"/>
                <w:szCs w:val="20"/>
                <w:rtl/>
                <w:lang w:bidi="ar-MA"/>
              </w:rPr>
              <w:t>والأجوبة "تدهور"). ولا يحلل مستوى الأرصدة مباشرة بل أن تطورها هو المعتمد في التحليل.</w:t>
            </w:r>
          </w:p>
          <w:p w:rsidR="0047396E" w:rsidRPr="00BD4B00" w:rsidRDefault="0047396E" w:rsidP="00BD4B00">
            <w:pPr>
              <w:pStyle w:val="Paragraphedeliste"/>
              <w:numPr>
                <w:ilvl w:val="0"/>
                <w:numId w:val="4"/>
              </w:numPr>
              <w:bidi/>
              <w:spacing w:line="360" w:lineRule="auto"/>
              <w:jc w:val="both"/>
              <w:rPr>
                <w:rFonts w:asciiTheme="majorBidi" w:hAnsiTheme="majorBidi" w:cstheme="majorBidi"/>
                <w:sz w:val="20"/>
                <w:szCs w:val="20"/>
                <w:rtl/>
                <w:lang w:bidi="ar-MA"/>
              </w:rPr>
            </w:pPr>
            <w:r w:rsidRPr="00BD4B00">
              <w:rPr>
                <w:rFonts w:asciiTheme="majorBidi" w:hAnsiTheme="majorBidi" w:cstheme="majorBidi"/>
                <w:sz w:val="20"/>
                <w:szCs w:val="20"/>
                <w:rtl/>
                <w:lang w:bidi="ar-MA"/>
              </w:rPr>
              <w:t xml:space="preserve"> يتم حساب مؤشر ثقة الأسر على أساس 7 مؤشرات تتعلق أربعة منها بالوضعية العامة في حين تخص الباقية الوضعية الخاصة بالأسرة وهي </w:t>
            </w:r>
            <w:r w:rsidR="00CF15A7" w:rsidRPr="00BD4B00">
              <w:rPr>
                <w:rFonts w:asciiTheme="majorBidi" w:hAnsiTheme="majorBidi" w:cstheme="majorBidi"/>
                <w:sz w:val="20"/>
                <w:szCs w:val="20"/>
                <w:rtl/>
                <w:lang w:bidi="ar-MA"/>
              </w:rPr>
              <w:t>كالتالي:</w:t>
            </w:r>
          </w:p>
          <w:p w:rsidR="0047396E" w:rsidRPr="00BD4B00" w:rsidRDefault="0047396E" w:rsidP="00BD4B00">
            <w:pPr>
              <w:pStyle w:val="Paragraphedeliste"/>
              <w:widowControl/>
              <w:numPr>
                <w:ilvl w:val="0"/>
                <w:numId w:val="5"/>
              </w:numPr>
              <w:autoSpaceDE/>
              <w:autoSpaceDN/>
              <w:bidi/>
              <w:adjustRightInd/>
              <w:spacing w:line="360" w:lineRule="auto"/>
              <w:jc w:val="both"/>
              <w:rPr>
                <w:rFonts w:asciiTheme="majorBidi" w:hAnsiTheme="majorBidi" w:cstheme="majorBidi"/>
                <w:sz w:val="20"/>
                <w:szCs w:val="20"/>
                <w:lang w:bidi="ar-MA"/>
              </w:rPr>
            </w:pPr>
            <w:r w:rsidRPr="00BD4B00">
              <w:rPr>
                <w:rFonts w:asciiTheme="majorBidi" w:hAnsiTheme="majorBidi" w:cstheme="majorBidi"/>
                <w:sz w:val="20"/>
                <w:szCs w:val="20"/>
                <w:rtl/>
                <w:lang w:bidi="ar-MA"/>
              </w:rPr>
              <w:t xml:space="preserve">التطورات السابقة لمستوى </w:t>
            </w:r>
            <w:r w:rsidR="00CF15A7" w:rsidRPr="00BD4B00">
              <w:rPr>
                <w:rFonts w:asciiTheme="majorBidi" w:hAnsiTheme="majorBidi" w:cstheme="majorBidi"/>
                <w:sz w:val="20"/>
                <w:szCs w:val="20"/>
                <w:rtl/>
                <w:lang w:bidi="ar-MA"/>
              </w:rPr>
              <w:t>المعيشة؛</w:t>
            </w:r>
          </w:p>
          <w:p w:rsidR="0047396E" w:rsidRPr="00BD4B00" w:rsidRDefault="0047396E" w:rsidP="00BD4B00">
            <w:pPr>
              <w:pStyle w:val="Paragraphedeliste"/>
              <w:widowControl/>
              <w:numPr>
                <w:ilvl w:val="0"/>
                <w:numId w:val="5"/>
              </w:numPr>
              <w:autoSpaceDE/>
              <w:autoSpaceDN/>
              <w:bidi/>
              <w:adjustRightInd/>
              <w:spacing w:line="360" w:lineRule="auto"/>
              <w:jc w:val="both"/>
              <w:rPr>
                <w:rFonts w:asciiTheme="majorBidi" w:hAnsiTheme="majorBidi" w:cstheme="majorBidi"/>
                <w:sz w:val="20"/>
                <w:szCs w:val="20"/>
                <w:lang w:bidi="ar-MA"/>
              </w:rPr>
            </w:pPr>
            <w:r w:rsidRPr="00BD4B00">
              <w:rPr>
                <w:rFonts w:asciiTheme="majorBidi" w:hAnsiTheme="majorBidi" w:cstheme="majorBidi"/>
                <w:sz w:val="20"/>
                <w:szCs w:val="20"/>
                <w:rtl/>
                <w:lang w:bidi="ar-MA"/>
              </w:rPr>
              <w:t xml:space="preserve">آفاق تطور مستوى </w:t>
            </w:r>
            <w:r w:rsidR="00CF15A7" w:rsidRPr="00BD4B00">
              <w:rPr>
                <w:rFonts w:asciiTheme="majorBidi" w:hAnsiTheme="majorBidi" w:cstheme="majorBidi"/>
                <w:sz w:val="20"/>
                <w:szCs w:val="20"/>
                <w:rtl/>
                <w:lang w:bidi="ar-MA"/>
              </w:rPr>
              <w:t>المعيشة؛</w:t>
            </w:r>
          </w:p>
          <w:p w:rsidR="0047396E" w:rsidRPr="00BD4B00" w:rsidRDefault="0047396E" w:rsidP="00BD4B00">
            <w:pPr>
              <w:pStyle w:val="Paragraphedeliste"/>
              <w:widowControl/>
              <w:numPr>
                <w:ilvl w:val="0"/>
                <w:numId w:val="5"/>
              </w:numPr>
              <w:autoSpaceDE/>
              <w:autoSpaceDN/>
              <w:bidi/>
              <w:adjustRightInd/>
              <w:spacing w:line="360" w:lineRule="auto"/>
              <w:jc w:val="both"/>
              <w:rPr>
                <w:rFonts w:asciiTheme="majorBidi" w:hAnsiTheme="majorBidi" w:cstheme="majorBidi"/>
                <w:sz w:val="20"/>
                <w:szCs w:val="20"/>
                <w:lang w:bidi="ar-MA"/>
              </w:rPr>
            </w:pPr>
            <w:r w:rsidRPr="00BD4B00">
              <w:rPr>
                <w:rFonts w:asciiTheme="majorBidi" w:hAnsiTheme="majorBidi" w:cstheme="majorBidi"/>
                <w:sz w:val="20"/>
                <w:szCs w:val="20"/>
                <w:rtl/>
                <w:lang w:bidi="ar-MA"/>
              </w:rPr>
              <w:t xml:space="preserve">آفاق تطور أعداد </w:t>
            </w:r>
            <w:r w:rsidR="00CF15A7" w:rsidRPr="00BD4B00">
              <w:rPr>
                <w:rFonts w:asciiTheme="majorBidi" w:hAnsiTheme="majorBidi" w:cstheme="majorBidi"/>
                <w:sz w:val="20"/>
                <w:szCs w:val="20"/>
                <w:rtl/>
                <w:lang w:bidi="ar-MA"/>
              </w:rPr>
              <w:t>العاطلين؛</w:t>
            </w:r>
          </w:p>
          <w:p w:rsidR="0047396E" w:rsidRPr="00BD4B00" w:rsidRDefault="0047396E" w:rsidP="00BD4B00">
            <w:pPr>
              <w:pStyle w:val="Paragraphedeliste"/>
              <w:widowControl/>
              <w:numPr>
                <w:ilvl w:val="0"/>
                <w:numId w:val="5"/>
              </w:numPr>
              <w:autoSpaceDE/>
              <w:autoSpaceDN/>
              <w:bidi/>
              <w:adjustRightInd/>
              <w:spacing w:line="360" w:lineRule="auto"/>
              <w:jc w:val="both"/>
              <w:rPr>
                <w:rFonts w:asciiTheme="majorBidi" w:hAnsiTheme="majorBidi" w:cstheme="majorBidi"/>
                <w:sz w:val="20"/>
                <w:szCs w:val="20"/>
                <w:lang w:bidi="ar-MA"/>
              </w:rPr>
            </w:pPr>
            <w:r w:rsidRPr="00BD4B00">
              <w:rPr>
                <w:rFonts w:asciiTheme="majorBidi" w:hAnsiTheme="majorBidi" w:cstheme="majorBidi"/>
                <w:sz w:val="20"/>
                <w:szCs w:val="20"/>
                <w:rtl/>
                <w:lang w:bidi="ar-MA"/>
              </w:rPr>
              <w:t xml:space="preserve">فرص اقتناء السلع </w:t>
            </w:r>
            <w:r w:rsidR="00CF15A7" w:rsidRPr="00BD4B00">
              <w:rPr>
                <w:rFonts w:asciiTheme="majorBidi" w:hAnsiTheme="majorBidi" w:cstheme="majorBidi"/>
                <w:sz w:val="20"/>
                <w:szCs w:val="20"/>
                <w:rtl/>
                <w:lang w:bidi="ar-MA"/>
              </w:rPr>
              <w:t>المستديمة؛</w:t>
            </w:r>
          </w:p>
          <w:p w:rsidR="0047396E" w:rsidRPr="00BD4B00" w:rsidRDefault="0047396E" w:rsidP="00BD4B00">
            <w:pPr>
              <w:pStyle w:val="Paragraphedeliste"/>
              <w:widowControl/>
              <w:numPr>
                <w:ilvl w:val="0"/>
                <w:numId w:val="5"/>
              </w:numPr>
              <w:autoSpaceDE/>
              <w:autoSpaceDN/>
              <w:bidi/>
              <w:adjustRightInd/>
              <w:spacing w:line="360" w:lineRule="auto"/>
              <w:jc w:val="both"/>
              <w:rPr>
                <w:rFonts w:asciiTheme="majorBidi" w:hAnsiTheme="majorBidi" w:cstheme="majorBidi"/>
                <w:sz w:val="20"/>
                <w:szCs w:val="20"/>
                <w:lang w:bidi="ar-MA"/>
              </w:rPr>
            </w:pPr>
            <w:r w:rsidRPr="00BD4B00">
              <w:rPr>
                <w:rFonts w:asciiTheme="majorBidi" w:hAnsiTheme="majorBidi" w:cstheme="majorBidi"/>
                <w:sz w:val="20"/>
                <w:szCs w:val="20"/>
                <w:rtl/>
                <w:lang w:bidi="ar-MA"/>
              </w:rPr>
              <w:t xml:space="preserve">الوضعية المالية الراهنة </w:t>
            </w:r>
            <w:r w:rsidR="00CF15A7" w:rsidRPr="00BD4B00">
              <w:rPr>
                <w:rFonts w:asciiTheme="majorBidi" w:hAnsiTheme="majorBidi" w:cstheme="majorBidi"/>
                <w:sz w:val="20"/>
                <w:szCs w:val="20"/>
                <w:rtl/>
                <w:lang w:bidi="ar-MA"/>
              </w:rPr>
              <w:t>للأسر؛</w:t>
            </w:r>
          </w:p>
          <w:p w:rsidR="0047396E" w:rsidRPr="00BD4B00" w:rsidRDefault="0047396E" w:rsidP="00BD4B00">
            <w:pPr>
              <w:pStyle w:val="Paragraphedeliste"/>
              <w:widowControl/>
              <w:numPr>
                <w:ilvl w:val="0"/>
                <w:numId w:val="5"/>
              </w:numPr>
              <w:autoSpaceDE/>
              <w:autoSpaceDN/>
              <w:bidi/>
              <w:adjustRightInd/>
              <w:spacing w:line="360" w:lineRule="auto"/>
              <w:ind w:left="1434" w:hanging="357"/>
              <w:jc w:val="both"/>
              <w:rPr>
                <w:rFonts w:asciiTheme="majorBidi" w:hAnsiTheme="majorBidi" w:cstheme="majorBidi"/>
                <w:sz w:val="20"/>
                <w:szCs w:val="20"/>
                <w:lang w:bidi="ar-MA"/>
              </w:rPr>
            </w:pPr>
            <w:r w:rsidRPr="00BD4B00">
              <w:rPr>
                <w:rFonts w:asciiTheme="majorBidi" w:hAnsiTheme="majorBidi" w:cstheme="majorBidi"/>
                <w:sz w:val="20"/>
                <w:szCs w:val="20"/>
                <w:rtl/>
                <w:lang w:bidi="ar-MA"/>
              </w:rPr>
              <w:t xml:space="preserve">التطور السابق للوضعية المالية </w:t>
            </w:r>
            <w:r w:rsidR="00CF15A7" w:rsidRPr="00BD4B00">
              <w:rPr>
                <w:rFonts w:asciiTheme="majorBidi" w:hAnsiTheme="majorBidi" w:cstheme="majorBidi"/>
                <w:sz w:val="20"/>
                <w:szCs w:val="20"/>
                <w:rtl/>
                <w:lang w:bidi="ar-MA"/>
              </w:rPr>
              <w:t>للأسر؛</w:t>
            </w:r>
          </w:p>
          <w:p w:rsidR="0047396E" w:rsidRPr="00BD4B00" w:rsidRDefault="0047396E" w:rsidP="00BD4B00">
            <w:pPr>
              <w:pStyle w:val="Paragraphedeliste"/>
              <w:widowControl/>
              <w:numPr>
                <w:ilvl w:val="0"/>
                <w:numId w:val="5"/>
              </w:numPr>
              <w:autoSpaceDE/>
              <w:autoSpaceDN/>
              <w:bidi/>
              <w:adjustRightInd/>
              <w:spacing w:line="360" w:lineRule="auto"/>
              <w:jc w:val="both"/>
              <w:rPr>
                <w:rFonts w:asciiTheme="majorBidi" w:hAnsiTheme="majorBidi" w:cstheme="majorBidi"/>
                <w:sz w:val="20"/>
                <w:szCs w:val="20"/>
                <w:lang w:bidi="ar-MA"/>
              </w:rPr>
            </w:pPr>
            <w:r w:rsidRPr="00BD4B00">
              <w:rPr>
                <w:rFonts w:asciiTheme="majorBidi" w:hAnsiTheme="majorBidi" w:cstheme="majorBidi"/>
                <w:sz w:val="20"/>
                <w:szCs w:val="20"/>
                <w:rtl/>
                <w:lang w:bidi="ar-MA"/>
              </w:rPr>
              <w:t>التطور المستقبلي للوضعية المالية للأسر.</w:t>
            </w:r>
          </w:p>
          <w:p w:rsidR="0047396E" w:rsidRPr="00BD4B00" w:rsidRDefault="0047396E" w:rsidP="00BD4B00">
            <w:pPr>
              <w:pStyle w:val="Paragraphedeliste"/>
              <w:numPr>
                <w:ilvl w:val="0"/>
                <w:numId w:val="6"/>
              </w:numPr>
              <w:bidi/>
              <w:spacing w:line="360" w:lineRule="auto"/>
              <w:jc w:val="both"/>
              <w:rPr>
                <w:rFonts w:asciiTheme="majorBidi" w:hAnsiTheme="majorBidi" w:cstheme="majorBidi"/>
                <w:sz w:val="20"/>
                <w:szCs w:val="20"/>
                <w:lang w:bidi="ar-MA"/>
              </w:rPr>
            </w:pPr>
            <w:r w:rsidRPr="00BD4B00">
              <w:rPr>
                <w:rFonts w:asciiTheme="majorBidi" w:hAnsiTheme="majorBidi" w:cstheme="majorBidi"/>
                <w:sz w:val="20"/>
                <w:szCs w:val="20"/>
                <w:rtl/>
                <w:lang w:bidi="ar-MA"/>
              </w:rPr>
              <w:t xml:space="preserve">يتم حساب هذا المؤشر التركيبي باعتماد المعدل الحسابي لأرصدة المؤشرات السبعة المكونة له مع إضافة 100 وبالتالي تتأرجح قيمته بين 0 </w:t>
            </w:r>
            <w:r w:rsidR="00CF15A7" w:rsidRPr="00BD4B00">
              <w:rPr>
                <w:rFonts w:asciiTheme="majorBidi" w:hAnsiTheme="majorBidi" w:cstheme="majorBidi"/>
                <w:sz w:val="20"/>
                <w:szCs w:val="20"/>
                <w:rtl/>
                <w:lang w:bidi="ar-MA"/>
              </w:rPr>
              <w:t>و200</w:t>
            </w:r>
            <w:r w:rsidRPr="00BD4B00">
              <w:rPr>
                <w:rFonts w:asciiTheme="majorBidi" w:hAnsiTheme="majorBidi" w:cstheme="majorBidi"/>
                <w:sz w:val="20"/>
                <w:szCs w:val="20"/>
                <w:rtl/>
                <w:lang w:bidi="ar-MA"/>
              </w:rPr>
              <w:t>.</w:t>
            </w:r>
          </w:p>
          <w:p w:rsidR="0047396E" w:rsidRPr="00BD4B00" w:rsidRDefault="0047396E" w:rsidP="00BD4B00">
            <w:pPr>
              <w:pStyle w:val="Paragraphedeliste"/>
              <w:numPr>
                <w:ilvl w:val="0"/>
                <w:numId w:val="6"/>
              </w:numPr>
              <w:bidi/>
              <w:spacing w:line="360" w:lineRule="auto"/>
              <w:jc w:val="both"/>
              <w:rPr>
                <w:rFonts w:asciiTheme="majorBidi" w:hAnsiTheme="majorBidi" w:cstheme="majorBidi"/>
                <w:sz w:val="20"/>
                <w:szCs w:val="20"/>
                <w:lang w:bidi="ar-MA"/>
              </w:rPr>
            </w:pPr>
            <w:r w:rsidRPr="00BD4B00">
              <w:rPr>
                <w:rFonts w:asciiTheme="majorBidi" w:hAnsiTheme="majorBidi" w:cstheme="majorBidi"/>
                <w:sz w:val="20"/>
                <w:szCs w:val="20"/>
                <w:rtl/>
                <w:lang w:bidi="ar-MA"/>
              </w:rPr>
              <w:t xml:space="preserve">لقد مكنت اختبارات </w:t>
            </w:r>
            <w:r w:rsidR="00CF15A7" w:rsidRPr="00BD4B00">
              <w:rPr>
                <w:rFonts w:asciiTheme="majorBidi" w:hAnsiTheme="majorBidi" w:cstheme="majorBidi"/>
                <w:sz w:val="20"/>
                <w:szCs w:val="20"/>
                <w:rtl/>
                <w:lang w:bidi="ar-MA"/>
              </w:rPr>
              <w:t>إحصائية</w:t>
            </w:r>
            <w:r w:rsidR="00CF15A7" w:rsidRPr="00BD4B00">
              <w:rPr>
                <w:rFonts w:asciiTheme="majorBidi" w:hAnsiTheme="majorBidi" w:cstheme="majorBidi"/>
                <w:sz w:val="20"/>
                <w:szCs w:val="20"/>
                <w:lang w:bidi="ar-MA"/>
              </w:rPr>
              <w:t xml:space="preserve"> (</w:t>
            </w:r>
            <w:r w:rsidRPr="00BD4B00">
              <w:rPr>
                <w:rFonts w:asciiTheme="majorBidi" w:hAnsiTheme="majorBidi" w:cstheme="majorBidi"/>
                <w:sz w:val="20"/>
                <w:szCs w:val="20"/>
                <w:lang w:bidi="ar-MA"/>
              </w:rPr>
              <w:t xml:space="preserve">test de </w:t>
            </w:r>
            <w:r w:rsidR="00CF15A7" w:rsidRPr="00BD4B00">
              <w:rPr>
                <w:rFonts w:asciiTheme="majorBidi" w:hAnsiTheme="majorBidi" w:cstheme="majorBidi"/>
                <w:sz w:val="20"/>
                <w:szCs w:val="20"/>
                <w:lang w:bidi="ar-MA"/>
              </w:rPr>
              <w:t xml:space="preserve">Fisher) </w:t>
            </w:r>
            <w:r w:rsidR="00CF15A7" w:rsidRPr="00BD4B00">
              <w:rPr>
                <w:rFonts w:asciiTheme="majorBidi" w:hAnsiTheme="majorBidi" w:cstheme="majorBidi"/>
                <w:sz w:val="20"/>
                <w:szCs w:val="20"/>
                <w:rtl/>
                <w:lang w:bidi="ar-MA"/>
              </w:rPr>
              <w:t>على</w:t>
            </w:r>
            <w:r w:rsidRPr="00BD4B00">
              <w:rPr>
                <w:rFonts w:asciiTheme="majorBidi" w:hAnsiTheme="majorBidi" w:cstheme="majorBidi"/>
                <w:sz w:val="20"/>
                <w:szCs w:val="20"/>
                <w:rtl/>
                <w:lang w:bidi="ar-MA"/>
              </w:rPr>
              <w:t xml:space="preserve"> سلسلة مؤشر ثقة الأسر خلال الفترة الممتدة من 2008 إلى2018 من تأكيد غياب التغييرات الموسمية سواء الثابتة أو المتحركة.</w:t>
            </w:r>
          </w:p>
          <w:p w:rsidR="0047396E" w:rsidRPr="00BD4B00" w:rsidRDefault="0047396E" w:rsidP="00BD4B00">
            <w:pPr>
              <w:bidi/>
              <w:spacing w:line="360" w:lineRule="auto"/>
              <w:jc w:val="both"/>
              <w:rPr>
                <w:rFonts w:asciiTheme="majorBidi" w:hAnsiTheme="majorBidi" w:cstheme="majorBidi"/>
                <w:sz w:val="20"/>
                <w:szCs w:val="20"/>
                <w:lang w:bidi="ar-MA"/>
              </w:rPr>
            </w:pPr>
          </w:p>
          <w:p w:rsidR="0047396E" w:rsidRPr="00BD4B00" w:rsidRDefault="0047396E" w:rsidP="00BD4B00">
            <w:pPr>
              <w:widowControl/>
              <w:autoSpaceDE/>
              <w:autoSpaceDN/>
              <w:bidi/>
              <w:adjustRightInd/>
              <w:spacing w:line="360" w:lineRule="auto"/>
              <w:jc w:val="both"/>
              <w:rPr>
                <w:rFonts w:asciiTheme="majorBidi" w:hAnsiTheme="majorBidi" w:cstheme="majorBidi"/>
                <w:lang w:bidi="ar-MA"/>
              </w:rPr>
            </w:pPr>
            <w:r w:rsidRPr="00BD4B00">
              <w:rPr>
                <w:rFonts w:asciiTheme="majorBidi" w:hAnsiTheme="majorBidi" w:cstheme="majorBidi"/>
                <w:sz w:val="20"/>
                <w:szCs w:val="20"/>
                <w:rtl/>
                <w:lang w:bidi="ar-MA"/>
              </w:rPr>
              <w:t xml:space="preserve">للمزيد من المعلومات حول الجوانب المنهجية لهذا </w:t>
            </w:r>
            <w:r w:rsidR="00CF15A7" w:rsidRPr="00BD4B00">
              <w:rPr>
                <w:rFonts w:asciiTheme="majorBidi" w:hAnsiTheme="majorBidi" w:cstheme="majorBidi"/>
                <w:sz w:val="20"/>
                <w:szCs w:val="20"/>
                <w:rtl/>
                <w:lang w:bidi="ar-MA"/>
              </w:rPr>
              <w:t>البحث</w:t>
            </w:r>
            <w:r w:rsidR="00CF15A7" w:rsidRPr="00BD4B00">
              <w:rPr>
                <w:rFonts w:asciiTheme="majorBidi" w:hAnsiTheme="majorBidi" w:cstheme="majorBidi"/>
                <w:sz w:val="20"/>
                <w:szCs w:val="20"/>
                <w:lang w:bidi="ar-MA"/>
              </w:rPr>
              <w:t>:</w:t>
            </w:r>
            <w:r w:rsidRPr="00BD4B00">
              <w:rPr>
                <w:rFonts w:asciiTheme="majorBidi" w:hAnsiTheme="majorBidi" w:cstheme="majorBidi"/>
                <w:sz w:val="20"/>
                <w:szCs w:val="20"/>
                <w:rtl/>
                <w:lang w:bidi="ar-MA"/>
              </w:rPr>
              <w:t xml:space="preserve"> زوروا الموقع الإلكتروني للمندوبية السامية للتخطيط   </w:t>
            </w:r>
            <w:hyperlink r:id="rId14" w:history="1">
              <w:r w:rsidRPr="00BD4B00">
                <w:rPr>
                  <w:rStyle w:val="Lienhypertexte"/>
                  <w:rFonts w:asciiTheme="majorBidi" w:hAnsiTheme="majorBidi" w:cstheme="majorBidi"/>
                  <w:sz w:val="20"/>
                  <w:szCs w:val="20"/>
                  <w:lang w:bidi="ar-MA"/>
                </w:rPr>
                <w:t>www.hcp.ma</w:t>
              </w:r>
            </w:hyperlink>
          </w:p>
        </w:tc>
      </w:tr>
    </w:tbl>
    <w:p w:rsidR="0047396E" w:rsidRPr="00BD4B00" w:rsidRDefault="00475CA4" w:rsidP="00BD4B00">
      <w:pPr>
        <w:widowControl/>
        <w:autoSpaceDE/>
        <w:autoSpaceDN/>
        <w:adjustRightInd/>
        <w:spacing w:line="360" w:lineRule="auto"/>
        <w:jc w:val="both"/>
        <w:rPr>
          <w:rFonts w:asciiTheme="majorBidi" w:hAnsiTheme="majorBidi" w:cstheme="majorBidi"/>
          <w:sz w:val="28"/>
          <w:szCs w:val="28"/>
          <w:lang w:bidi="ar-MA"/>
        </w:rPr>
        <w:sectPr w:rsidR="0047396E" w:rsidRPr="00BD4B00" w:rsidSect="0047396E">
          <w:footerReference w:type="default" r:id="rId15"/>
          <w:pgSz w:w="11906" w:h="16838"/>
          <w:pgMar w:top="1247" w:right="1274" w:bottom="1191" w:left="1276" w:header="567" w:footer="567" w:gutter="0"/>
          <w:cols w:space="708"/>
          <w:docGrid w:linePitch="360"/>
        </w:sectPr>
      </w:pPr>
      <w:r>
        <w:rPr>
          <w:rFonts w:asciiTheme="majorBidi" w:hAnsiTheme="majorBidi" w:cstheme="majorBidi"/>
          <w:sz w:val="28"/>
          <w:szCs w:val="28"/>
          <w:lang w:bidi="ar-MA"/>
        </w:rPr>
        <w:t xml:space="preserve">       </w:t>
      </w:r>
    </w:p>
    <w:p w:rsidR="00696211" w:rsidRPr="00BD4B00" w:rsidRDefault="0047396E" w:rsidP="00BD4B00">
      <w:pPr>
        <w:widowControl/>
        <w:autoSpaceDE/>
        <w:autoSpaceDN/>
        <w:bidi/>
        <w:adjustRightInd/>
        <w:spacing w:after="200" w:line="360" w:lineRule="auto"/>
        <w:ind w:firstLine="360"/>
        <w:jc w:val="center"/>
        <w:rPr>
          <w:rFonts w:asciiTheme="majorBidi" w:hAnsiTheme="majorBidi" w:cstheme="majorBidi"/>
          <w:b/>
          <w:bCs/>
          <w:sz w:val="28"/>
          <w:szCs w:val="28"/>
          <w:lang w:val="fr-MA" w:bidi="ar-MA"/>
        </w:rPr>
      </w:pPr>
      <w:r w:rsidRPr="00BD4B00">
        <w:rPr>
          <w:rFonts w:asciiTheme="majorBidi" w:hAnsiTheme="majorBidi" w:cstheme="majorBidi"/>
          <w:b/>
          <w:bCs/>
          <w:sz w:val="28"/>
          <w:szCs w:val="28"/>
          <w:rtl/>
          <w:lang w:bidi="ar-MA"/>
        </w:rPr>
        <w:lastRenderedPageBreak/>
        <w:t>تطور مؤشر الثقة لدى الأسر المغربية ومكوناته</w:t>
      </w:r>
    </w:p>
    <w:tbl>
      <w:tblPr>
        <w:tblW w:w="16004" w:type="dxa"/>
        <w:tblInd w:w="-214" w:type="dxa"/>
        <w:tblCellMar>
          <w:left w:w="70" w:type="dxa"/>
          <w:right w:w="70" w:type="dxa"/>
        </w:tblCellMar>
        <w:tblLook w:val="04A0"/>
      </w:tblPr>
      <w:tblGrid>
        <w:gridCol w:w="567"/>
        <w:gridCol w:w="590"/>
        <w:gridCol w:w="474"/>
        <w:gridCol w:w="474"/>
        <w:gridCol w:w="474"/>
        <w:gridCol w:w="474"/>
        <w:gridCol w:w="474"/>
        <w:gridCol w:w="474"/>
        <w:gridCol w:w="474"/>
        <w:gridCol w:w="474"/>
        <w:gridCol w:w="474"/>
        <w:gridCol w:w="474"/>
        <w:gridCol w:w="474"/>
        <w:gridCol w:w="474"/>
        <w:gridCol w:w="474"/>
        <w:gridCol w:w="474"/>
        <w:gridCol w:w="474"/>
        <w:gridCol w:w="474"/>
        <w:gridCol w:w="474"/>
        <w:gridCol w:w="474"/>
        <w:gridCol w:w="490"/>
        <w:gridCol w:w="490"/>
        <w:gridCol w:w="490"/>
        <w:gridCol w:w="490"/>
        <w:gridCol w:w="490"/>
        <w:gridCol w:w="490"/>
        <w:gridCol w:w="490"/>
        <w:gridCol w:w="490"/>
        <w:gridCol w:w="2395"/>
      </w:tblGrid>
      <w:tr w:rsidR="00474052" w:rsidRPr="00BD4B00" w:rsidTr="00BD4B00">
        <w:trPr>
          <w:trHeight w:val="349"/>
        </w:trPr>
        <w:tc>
          <w:tcPr>
            <w:tcW w:w="2105"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474052" w:rsidRPr="00BD4B00" w:rsidRDefault="00474052" w:rsidP="00BD4B00">
            <w:pPr>
              <w:widowControl/>
              <w:autoSpaceDE/>
              <w:autoSpaceDN/>
              <w:bidi/>
              <w:adjustRightInd/>
              <w:spacing w:line="360" w:lineRule="auto"/>
              <w:jc w:val="center"/>
              <w:rPr>
                <w:rFonts w:asciiTheme="majorBidi" w:hAnsiTheme="majorBidi" w:cstheme="majorBidi"/>
                <w:b/>
                <w:bCs/>
                <w:color w:val="000000"/>
                <w:sz w:val="16"/>
                <w:szCs w:val="16"/>
              </w:rPr>
            </w:pPr>
            <w:r w:rsidRPr="00BD4B00">
              <w:rPr>
                <w:rFonts w:asciiTheme="majorBidi" w:hAnsiTheme="majorBidi" w:cstheme="majorBidi"/>
                <w:b/>
                <w:bCs/>
                <w:color w:val="000000"/>
                <w:sz w:val="16"/>
                <w:szCs w:val="16"/>
                <w:rtl/>
              </w:rPr>
              <w:t>2022</w:t>
            </w:r>
          </w:p>
        </w:tc>
        <w:tc>
          <w:tcPr>
            <w:tcW w:w="0" w:type="auto"/>
            <w:gridSpan w:val="4"/>
            <w:tcBorders>
              <w:top w:val="single" w:sz="4" w:space="0" w:color="auto"/>
              <w:left w:val="nil"/>
              <w:bottom w:val="single" w:sz="4" w:space="0" w:color="auto"/>
              <w:right w:val="single" w:sz="4" w:space="0" w:color="auto"/>
            </w:tcBorders>
            <w:shd w:val="clear" w:color="auto" w:fill="auto"/>
            <w:vAlign w:val="center"/>
            <w:hideMark/>
          </w:tcPr>
          <w:p w:rsidR="00474052" w:rsidRPr="00BD4B00" w:rsidRDefault="00474052" w:rsidP="00BD4B00">
            <w:pPr>
              <w:widowControl/>
              <w:autoSpaceDE/>
              <w:autoSpaceDN/>
              <w:bidi/>
              <w:adjustRightInd/>
              <w:spacing w:line="360" w:lineRule="auto"/>
              <w:jc w:val="center"/>
              <w:rPr>
                <w:rFonts w:asciiTheme="majorBidi" w:hAnsiTheme="majorBidi" w:cstheme="majorBidi"/>
                <w:b/>
                <w:bCs/>
                <w:color w:val="000000"/>
                <w:sz w:val="16"/>
                <w:szCs w:val="16"/>
              </w:rPr>
            </w:pPr>
            <w:r w:rsidRPr="00BD4B00">
              <w:rPr>
                <w:rFonts w:asciiTheme="majorBidi" w:hAnsiTheme="majorBidi" w:cstheme="majorBidi"/>
                <w:b/>
                <w:bCs/>
                <w:color w:val="000000"/>
                <w:sz w:val="16"/>
                <w:szCs w:val="16"/>
              </w:rPr>
              <w:t>2021</w:t>
            </w:r>
          </w:p>
        </w:tc>
        <w:tc>
          <w:tcPr>
            <w:tcW w:w="0" w:type="auto"/>
            <w:gridSpan w:val="4"/>
            <w:tcBorders>
              <w:top w:val="single" w:sz="4" w:space="0" w:color="auto"/>
              <w:left w:val="nil"/>
              <w:bottom w:val="single" w:sz="4" w:space="0" w:color="auto"/>
              <w:right w:val="single" w:sz="4" w:space="0" w:color="auto"/>
            </w:tcBorders>
            <w:shd w:val="clear" w:color="auto" w:fill="auto"/>
            <w:vAlign w:val="center"/>
            <w:hideMark/>
          </w:tcPr>
          <w:p w:rsidR="00474052" w:rsidRPr="00BD4B00" w:rsidRDefault="00474052" w:rsidP="00BD4B00">
            <w:pPr>
              <w:widowControl/>
              <w:autoSpaceDE/>
              <w:autoSpaceDN/>
              <w:bidi/>
              <w:adjustRightInd/>
              <w:spacing w:line="360" w:lineRule="auto"/>
              <w:jc w:val="center"/>
              <w:rPr>
                <w:rFonts w:asciiTheme="majorBidi" w:hAnsiTheme="majorBidi" w:cstheme="majorBidi"/>
                <w:b/>
                <w:bCs/>
                <w:color w:val="000000"/>
                <w:sz w:val="16"/>
                <w:szCs w:val="16"/>
              </w:rPr>
            </w:pPr>
            <w:r w:rsidRPr="00BD4B00">
              <w:rPr>
                <w:rFonts w:asciiTheme="majorBidi" w:hAnsiTheme="majorBidi" w:cstheme="majorBidi"/>
                <w:b/>
                <w:bCs/>
                <w:color w:val="000000"/>
                <w:sz w:val="16"/>
                <w:szCs w:val="16"/>
              </w:rPr>
              <w:t>2020</w:t>
            </w:r>
          </w:p>
        </w:tc>
        <w:tc>
          <w:tcPr>
            <w:tcW w:w="0" w:type="auto"/>
            <w:gridSpan w:val="4"/>
            <w:tcBorders>
              <w:top w:val="single" w:sz="4" w:space="0" w:color="auto"/>
              <w:left w:val="nil"/>
              <w:bottom w:val="single" w:sz="4" w:space="0" w:color="auto"/>
              <w:right w:val="single" w:sz="4" w:space="0" w:color="auto"/>
            </w:tcBorders>
            <w:shd w:val="clear" w:color="auto" w:fill="auto"/>
            <w:vAlign w:val="center"/>
            <w:hideMark/>
          </w:tcPr>
          <w:p w:rsidR="00474052" w:rsidRPr="00BD4B00" w:rsidRDefault="00474052" w:rsidP="00BD4B00">
            <w:pPr>
              <w:widowControl/>
              <w:autoSpaceDE/>
              <w:autoSpaceDN/>
              <w:bidi/>
              <w:adjustRightInd/>
              <w:spacing w:line="360" w:lineRule="auto"/>
              <w:jc w:val="center"/>
              <w:rPr>
                <w:rFonts w:asciiTheme="majorBidi" w:hAnsiTheme="majorBidi" w:cstheme="majorBidi"/>
                <w:b/>
                <w:bCs/>
                <w:color w:val="000000"/>
                <w:sz w:val="16"/>
                <w:szCs w:val="16"/>
              </w:rPr>
            </w:pPr>
            <w:r w:rsidRPr="00BD4B00">
              <w:rPr>
                <w:rFonts w:asciiTheme="majorBidi" w:hAnsiTheme="majorBidi" w:cstheme="majorBidi"/>
                <w:b/>
                <w:bCs/>
                <w:color w:val="000000"/>
                <w:sz w:val="16"/>
                <w:szCs w:val="16"/>
              </w:rPr>
              <w:t>2019</w:t>
            </w:r>
          </w:p>
        </w:tc>
        <w:tc>
          <w:tcPr>
            <w:tcW w:w="0" w:type="auto"/>
            <w:gridSpan w:val="4"/>
            <w:tcBorders>
              <w:top w:val="single" w:sz="4" w:space="0" w:color="auto"/>
              <w:left w:val="nil"/>
              <w:bottom w:val="single" w:sz="4" w:space="0" w:color="auto"/>
              <w:right w:val="single" w:sz="4" w:space="0" w:color="auto"/>
            </w:tcBorders>
            <w:shd w:val="clear" w:color="auto" w:fill="auto"/>
            <w:vAlign w:val="center"/>
            <w:hideMark/>
          </w:tcPr>
          <w:p w:rsidR="00474052" w:rsidRPr="00BD4B00" w:rsidRDefault="00474052" w:rsidP="00BD4B00">
            <w:pPr>
              <w:widowControl/>
              <w:autoSpaceDE/>
              <w:autoSpaceDN/>
              <w:bidi/>
              <w:adjustRightInd/>
              <w:spacing w:line="360" w:lineRule="auto"/>
              <w:jc w:val="center"/>
              <w:rPr>
                <w:rFonts w:asciiTheme="majorBidi" w:hAnsiTheme="majorBidi" w:cstheme="majorBidi"/>
                <w:b/>
                <w:bCs/>
                <w:color w:val="000000"/>
                <w:sz w:val="16"/>
                <w:szCs w:val="16"/>
              </w:rPr>
            </w:pPr>
            <w:r w:rsidRPr="00BD4B00">
              <w:rPr>
                <w:rFonts w:asciiTheme="majorBidi" w:hAnsiTheme="majorBidi" w:cstheme="majorBidi"/>
                <w:b/>
                <w:bCs/>
                <w:color w:val="000000"/>
                <w:sz w:val="16"/>
                <w:szCs w:val="16"/>
              </w:rPr>
              <w:t>2018</w:t>
            </w:r>
          </w:p>
        </w:tc>
        <w:tc>
          <w:tcPr>
            <w:tcW w:w="1960" w:type="dxa"/>
            <w:gridSpan w:val="4"/>
            <w:tcBorders>
              <w:top w:val="single" w:sz="4" w:space="0" w:color="auto"/>
              <w:left w:val="nil"/>
              <w:bottom w:val="single" w:sz="4" w:space="0" w:color="auto"/>
              <w:right w:val="single" w:sz="4" w:space="0" w:color="auto"/>
            </w:tcBorders>
            <w:shd w:val="clear" w:color="auto" w:fill="auto"/>
            <w:vAlign w:val="center"/>
            <w:hideMark/>
          </w:tcPr>
          <w:p w:rsidR="00474052" w:rsidRPr="00BD4B00" w:rsidRDefault="00474052" w:rsidP="00BD4B00">
            <w:pPr>
              <w:widowControl/>
              <w:autoSpaceDE/>
              <w:autoSpaceDN/>
              <w:bidi/>
              <w:adjustRightInd/>
              <w:spacing w:line="360" w:lineRule="auto"/>
              <w:jc w:val="center"/>
              <w:rPr>
                <w:rFonts w:asciiTheme="majorBidi" w:hAnsiTheme="majorBidi" w:cstheme="majorBidi"/>
                <w:b/>
                <w:bCs/>
                <w:color w:val="000000"/>
                <w:sz w:val="16"/>
                <w:szCs w:val="16"/>
              </w:rPr>
            </w:pPr>
            <w:r w:rsidRPr="00BD4B00">
              <w:rPr>
                <w:rFonts w:asciiTheme="majorBidi" w:hAnsiTheme="majorBidi" w:cstheme="majorBidi"/>
                <w:b/>
                <w:bCs/>
                <w:color w:val="000000"/>
                <w:sz w:val="16"/>
                <w:szCs w:val="16"/>
                <w:rtl/>
              </w:rPr>
              <w:t>2017</w:t>
            </w:r>
          </w:p>
        </w:tc>
        <w:tc>
          <w:tcPr>
            <w:tcW w:w="1960" w:type="dxa"/>
            <w:gridSpan w:val="4"/>
            <w:tcBorders>
              <w:top w:val="single" w:sz="4" w:space="0" w:color="auto"/>
              <w:left w:val="nil"/>
              <w:bottom w:val="single" w:sz="4" w:space="0" w:color="auto"/>
              <w:right w:val="single" w:sz="4" w:space="0" w:color="auto"/>
            </w:tcBorders>
            <w:shd w:val="clear" w:color="auto" w:fill="auto"/>
            <w:vAlign w:val="center"/>
            <w:hideMark/>
          </w:tcPr>
          <w:p w:rsidR="00474052" w:rsidRPr="00BD4B00" w:rsidRDefault="00474052" w:rsidP="00BD4B00">
            <w:pPr>
              <w:widowControl/>
              <w:autoSpaceDE/>
              <w:autoSpaceDN/>
              <w:bidi/>
              <w:adjustRightInd/>
              <w:spacing w:line="360" w:lineRule="auto"/>
              <w:jc w:val="center"/>
              <w:rPr>
                <w:rFonts w:asciiTheme="majorBidi" w:hAnsiTheme="majorBidi" w:cstheme="majorBidi"/>
                <w:b/>
                <w:bCs/>
                <w:color w:val="000000"/>
                <w:sz w:val="16"/>
                <w:szCs w:val="16"/>
              </w:rPr>
            </w:pPr>
            <w:r w:rsidRPr="00BD4B00">
              <w:rPr>
                <w:rFonts w:asciiTheme="majorBidi" w:hAnsiTheme="majorBidi" w:cstheme="majorBidi"/>
                <w:b/>
                <w:bCs/>
                <w:color w:val="000000"/>
                <w:sz w:val="16"/>
                <w:szCs w:val="16"/>
              </w:rPr>
              <w:t>2016</w:t>
            </w:r>
          </w:p>
        </w:tc>
        <w:tc>
          <w:tcPr>
            <w:tcW w:w="2395" w:type="dxa"/>
            <w:vMerge w:val="restart"/>
            <w:tcBorders>
              <w:top w:val="single" w:sz="4" w:space="0" w:color="auto"/>
              <w:left w:val="single" w:sz="4" w:space="0" w:color="auto"/>
              <w:right w:val="single" w:sz="4" w:space="0" w:color="auto"/>
            </w:tcBorders>
            <w:shd w:val="clear" w:color="auto" w:fill="auto"/>
            <w:vAlign w:val="center"/>
          </w:tcPr>
          <w:p w:rsidR="00474052" w:rsidRPr="00BD4B00" w:rsidRDefault="00474052" w:rsidP="00BD4B00">
            <w:pPr>
              <w:bidi/>
              <w:spacing w:line="360" w:lineRule="auto"/>
              <w:jc w:val="center"/>
              <w:rPr>
                <w:rFonts w:asciiTheme="majorBidi" w:hAnsiTheme="majorBidi" w:cstheme="majorBidi"/>
                <w:b/>
                <w:bCs/>
                <w:color w:val="000000"/>
                <w:sz w:val="16"/>
                <w:szCs w:val="16"/>
              </w:rPr>
            </w:pPr>
          </w:p>
        </w:tc>
      </w:tr>
      <w:tr w:rsidR="00474052" w:rsidRPr="00BD4B00" w:rsidTr="00BD4B00">
        <w:trPr>
          <w:trHeight w:val="349"/>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474052" w:rsidRPr="00BD4B00" w:rsidRDefault="00474052" w:rsidP="00BD4B00">
            <w:pPr>
              <w:widowControl/>
              <w:autoSpaceDE/>
              <w:autoSpaceDN/>
              <w:bidi/>
              <w:adjustRightInd/>
              <w:spacing w:line="360" w:lineRule="auto"/>
              <w:jc w:val="center"/>
              <w:rPr>
                <w:rFonts w:asciiTheme="majorBidi" w:hAnsiTheme="majorBidi" w:cstheme="majorBidi"/>
                <w:b/>
                <w:bCs/>
                <w:color w:val="000000"/>
                <w:sz w:val="16"/>
                <w:szCs w:val="16"/>
              </w:rPr>
            </w:pPr>
            <w:r w:rsidRPr="00BD4B00">
              <w:rPr>
                <w:rFonts w:asciiTheme="majorBidi" w:hAnsiTheme="majorBidi" w:cstheme="majorBidi"/>
                <w:b/>
                <w:bCs/>
                <w:color w:val="000000"/>
                <w:sz w:val="16"/>
                <w:szCs w:val="16"/>
                <w:rtl/>
              </w:rPr>
              <w:t>ف4</w:t>
            </w:r>
          </w:p>
        </w:tc>
        <w:tc>
          <w:tcPr>
            <w:tcW w:w="590" w:type="dxa"/>
            <w:tcBorders>
              <w:top w:val="nil"/>
              <w:left w:val="nil"/>
              <w:bottom w:val="single" w:sz="4" w:space="0" w:color="auto"/>
              <w:right w:val="single" w:sz="4" w:space="0" w:color="auto"/>
            </w:tcBorders>
            <w:shd w:val="clear" w:color="auto" w:fill="auto"/>
            <w:vAlign w:val="center"/>
            <w:hideMark/>
          </w:tcPr>
          <w:p w:rsidR="00474052" w:rsidRPr="00BD4B00" w:rsidRDefault="00474052" w:rsidP="00BD4B00">
            <w:pPr>
              <w:widowControl/>
              <w:autoSpaceDE/>
              <w:autoSpaceDN/>
              <w:bidi/>
              <w:adjustRightInd/>
              <w:spacing w:line="360" w:lineRule="auto"/>
              <w:jc w:val="center"/>
              <w:rPr>
                <w:rFonts w:asciiTheme="majorBidi" w:hAnsiTheme="majorBidi" w:cstheme="majorBidi"/>
                <w:b/>
                <w:bCs/>
                <w:color w:val="000000"/>
                <w:sz w:val="16"/>
                <w:szCs w:val="16"/>
              </w:rPr>
            </w:pPr>
            <w:r w:rsidRPr="00BD4B00">
              <w:rPr>
                <w:rFonts w:asciiTheme="majorBidi" w:hAnsiTheme="majorBidi" w:cstheme="majorBidi"/>
                <w:b/>
                <w:bCs/>
                <w:color w:val="000000"/>
                <w:sz w:val="16"/>
                <w:szCs w:val="16"/>
                <w:rtl/>
              </w:rPr>
              <w:t>ف 3</w:t>
            </w:r>
          </w:p>
        </w:tc>
        <w:tc>
          <w:tcPr>
            <w:tcW w:w="0" w:type="auto"/>
            <w:tcBorders>
              <w:top w:val="nil"/>
              <w:left w:val="nil"/>
              <w:bottom w:val="single" w:sz="4" w:space="0" w:color="auto"/>
              <w:right w:val="single" w:sz="4" w:space="0" w:color="auto"/>
            </w:tcBorders>
            <w:shd w:val="clear" w:color="auto" w:fill="auto"/>
            <w:vAlign w:val="center"/>
            <w:hideMark/>
          </w:tcPr>
          <w:p w:rsidR="00474052" w:rsidRPr="00BD4B00" w:rsidRDefault="00474052" w:rsidP="00BD4B00">
            <w:pPr>
              <w:widowControl/>
              <w:autoSpaceDE/>
              <w:autoSpaceDN/>
              <w:bidi/>
              <w:adjustRightInd/>
              <w:spacing w:line="360" w:lineRule="auto"/>
              <w:jc w:val="center"/>
              <w:rPr>
                <w:rFonts w:asciiTheme="majorBidi" w:hAnsiTheme="majorBidi" w:cstheme="majorBidi"/>
                <w:b/>
                <w:bCs/>
                <w:color w:val="000000"/>
                <w:sz w:val="16"/>
                <w:szCs w:val="16"/>
              </w:rPr>
            </w:pPr>
            <w:r w:rsidRPr="00BD4B00">
              <w:rPr>
                <w:rFonts w:asciiTheme="majorBidi" w:hAnsiTheme="majorBidi" w:cstheme="majorBidi"/>
                <w:b/>
                <w:bCs/>
                <w:color w:val="000000"/>
                <w:sz w:val="16"/>
                <w:szCs w:val="16"/>
                <w:rtl/>
              </w:rPr>
              <w:t>ف 2</w:t>
            </w:r>
          </w:p>
        </w:tc>
        <w:tc>
          <w:tcPr>
            <w:tcW w:w="0" w:type="auto"/>
            <w:tcBorders>
              <w:top w:val="nil"/>
              <w:left w:val="nil"/>
              <w:bottom w:val="single" w:sz="4" w:space="0" w:color="auto"/>
              <w:right w:val="single" w:sz="4" w:space="0" w:color="auto"/>
            </w:tcBorders>
            <w:shd w:val="clear" w:color="auto" w:fill="auto"/>
            <w:vAlign w:val="center"/>
            <w:hideMark/>
          </w:tcPr>
          <w:p w:rsidR="00474052" w:rsidRPr="00BD4B00" w:rsidRDefault="00474052" w:rsidP="00BD4B00">
            <w:pPr>
              <w:widowControl/>
              <w:autoSpaceDE/>
              <w:autoSpaceDN/>
              <w:bidi/>
              <w:adjustRightInd/>
              <w:spacing w:line="360" w:lineRule="auto"/>
              <w:jc w:val="center"/>
              <w:rPr>
                <w:rFonts w:asciiTheme="majorBidi" w:hAnsiTheme="majorBidi" w:cstheme="majorBidi"/>
                <w:b/>
                <w:bCs/>
                <w:color w:val="000000"/>
                <w:sz w:val="16"/>
                <w:szCs w:val="16"/>
              </w:rPr>
            </w:pPr>
            <w:r w:rsidRPr="00BD4B00">
              <w:rPr>
                <w:rFonts w:asciiTheme="majorBidi" w:hAnsiTheme="majorBidi" w:cstheme="majorBidi"/>
                <w:b/>
                <w:bCs/>
                <w:color w:val="000000"/>
                <w:sz w:val="16"/>
                <w:szCs w:val="16"/>
                <w:rtl/>
              </w:rPr>
              <w:t>ف 1</w:t>
            </w:r>
          </w:p>
        </w:tc>
        <w:tc>
          <w:tcPr>
            <w:tcW w:w="0" w:type="auto"/>
            <w:tcBorders>
              <w:top w:val="nil"/>
              <w:left w:val="nil"/>
              <w:bottom w:val="single" w:sz="4" w:space="0" w:color="auto"/>
              <w:right w:val="single" w:sz="4" w:space="0" w:color="auto"/>
            </w:tcBorders>
            <w:shd w:val="clear" w:color="auto" w:fill="auto"/>
            <w:vAlign w:val="center"/>
            <w:hideMark/>
          </w:tcPr>
          <w:p w:rsidR="00474052" w:rsidRPr="00BD4B00" w:rsidRDefault="00474052" w:rsidP="00BD4B00">
            <w:pPr>
              <w:widowControl/>
              <w:autoSpaceDE/>
              <w:autoSpaceDN/>
              <w:bidi/>
              <w:adjustRightInd/>
              <w:spacing w:line="360" w:lineRule="auto"/>
              <w:jc w:val="center"/>
              <w:rPr>
                <w:rFonts w:asciiTheme="majorBidi" w:hAnsiTheme="majorBidi" w:cstheme="majorBidi"/>
                <w:b/>
                <w:bCs/>
                <w:color w:val="000000"/>
                <w:sz w:val="16"/>
                <w:szCs w:val="16"/>
              </w:rPr>
            </w:pPr>
            <w:r w:rsidRPr="00BD4B00">
              <w:rPr>
                <w:rFonts w:asciiTheme="majorBidi" w:hAnsiTheme="majorBidi" w:cstheme="majorBidi"/>
                <w:b/>
                <w:bCs/>
                <w:color w:val="000000"/>
                <w:sz w:val="16"/>
                <w:szCs w:val="16"/>
                <w:rtl/>
              </w:rPr>
              <w:t>ف4</w:t>
            </w:r>
          </w:p>
        </w:tc>
        <w:tc>
          <w:tcPr>
            <w:tcW w:w="0" w:type="auto"/>
            <w:tcBorders>
              <w:top w:val="nil"/>
              <w:left w:val="nil"/>
              <w:bottom w:val="single" w:sz="4" w:space="0" w:color="auto"/>
              <w:right w:val="single" w:sz="4" w:space="0" w:color="auto"/>
            </w:tcBorders>
            <w:shd w:val="clear" w:color="auto" w:fill="auto"/>
            <w:vAlign w:val="center"/>
            <w:hideMark/>
          </w:tcPr>
          <w:p w:rsidR="00474052" w:rsidRPr="00BD4B00" w:rsidRDefault="00474052" w:rsidP="00BD4B00">
            <w:pPr>
              <w:widowControl/>
              <w:autoSpaceDE/>
              <w:autoSpaceDN/>
              <w:bidi/>
              <w:adjustRightInd/>
              <w:spacing w:line="360" w:lineRule="auto"/>
              <w:jc w:val="center"/>
              <w:rPr>
                <w:rFonts w:asciiTheme="majorBidi" w:hAnsiTheme="majorBidi" w:cstheme="majorBidi"/>
                <w:b/>
                <w:bCs/>
                <w:color w:val="000000"/>
                <w:sz w:val="16"/>
                <w:szCs w:val="16"/>
              </w:rPr>
            </w:pPr>
            <w:r w:rsidRPr="00BD4B00">
              <w:rPr>
                <w:rFonts w:asciiTheme="majorBidi" w:hAnsiTheme="majorBidi" w:cstheme="majorBidi"/>
                <w:b/>
                <w:bCs/>
                <w:color w:val="000000"/>
                <w:sz w:val="16"/>
                <w:szCs w:val="16"/>
                <w:rtl/>
              </w:rPr>
              <w:t>ف 3</w:t>
            </w:r>
          </w:p>
        </w:tc>
        <w:tc>
          <w:tcPr>
            <w:tcW w:w="0" w:type="auto"/>
            <w:tcBorders>
              <w:top w:val="nil"/>
              <w:left w:val="nil"/>
              <w:bottom w:val="single" w:sz="4" w:space="0" w:color="auto"/>
              <w:right w:val="single" w:sz="4" w:space="0" w:color="auto"/>
            </w:tcBorders>
            <w:shd w:val="clear" w:color="auto" w:fill="auto"/>
            <w:vAlign w:val="center"/>
            <w:hideMark/>
          </w:tcPr>
          <w:p w:rsidR="00474052" w:rsidRPr="00BD4B00" w:rsidRDefault="00474052" w:rsidP="00BD4B00">
            <w:pPr>
              <w:widowControl/>
              <w:autoSpaceDE/>
              <w:autoSpaceDN/>
              <w:bidi/>
              <w:adjustRightInd/>
              <w:spacing w:line="360" w:lineRule="auto"/>
              <w:jc w:val="center"/>
              <w:rPr>
                <w:rFonts w:asciiTheme="majorBidi" w:hAnsiTheme="majorBidi" w:cstheme="majorBidi"/>
                <w:b/>
                <w:bCs/>
                <w:color w:val="000000"/>
                <w:sz w:val="16"/>
                <w:szCs w:val="16"/>
              </w:rPr>
            </w:pPr>
            <w:r w:rsidRPr="00BD4B00">
              <w:rPr>
                <w:rFonts w:asciiTheme="majorBidi" w:hAnsiTheme="majorBidi" w:cstheme="majorBidi"/>
                <w:b/>
                <w:bCs/>
                <w:color w:val="000000"/>
                <w:sz w:val="16"/>
                <w:szCs w:val="16"/>
                <w:rtl/>
              </w:rPr>
              <w:t>ف 2</w:t>
            </w:r>
          </w:p>
        </w:tc>
        <w:tc>
          <w:tcPr>
            <w:tcW w:w="0" w:type="auto"/>
            <w:tcBorders>
              <w:top w:val="nil"/>
              <w:left w:val="nil"/>
              <w:bottom w:val="single" w:sz="4" w:space="0" w:color="auto"/>
              <w:right w:val="single" w:sz="4" w:space="0" w:color="auto"/>
            </w:tcBorders>
            <w:shd w:val="clear" w:color="auto" w:fill="auto"/>
            <w:vAlign w:val="center"/>
            <w:hideMark/>
          </w:tcPr>
          <w:p w:rsidR="00474052" w:rsidRPr="00BD4B00" w:rsidRDefault="00474052" w:rsidP="00BD4B00">
            <w:pPr>
              <w:widowControl/>
              <w:autoSpaceDE/>
              <w:autoSpaceDN/>
              <w:bidi/>
              <w:adjustRightInd/>
              <w:spacing w:line="360" w:lineRule="auto"/>
              <w:jc w:val="center"/>
              <w:rPr>
                <w:rFonts w:asciiTheme="majorBidi" w:hAnsiTheme="majorBidi" w:cstheme="majorBidi"/>
                <w:b/>
                <w:bCs/>
                <w:color w:val="000000"/>
                <w:sz w:val="16"/>
                <w:szCs w:val="16"/>
              </w:rPr>
            </w:pPr>
            <w:r w:rsidRPr="00BD4B00">
              <w:rPr>
                <w:rFonts w:asciiTheme="majorBidi" w:hAnsiTheme="majorBidi" w:cstheme="majorBidi"/>
                <w:b/>
                <w:bCs/>
                <w:color w:val="000000"/>
                <w:sz w:val="16"/>
                <w:szCs w:val="16"/>
                <w:rtl/>
              </w:rPr>
              <w:t>ف 1</w:t>
            </w:r>
          </w:p>
        </w:tc>
        <w:tc>
          <w:tcPr>
            <w:tcW w:w="0" w:type="auto"/>
            <w:tcBorders>
              <w:top w:val="nil"/>
              <w:left w:val="nil"/>
              <w:bottom w:val="single" w:sz="4" w:space="0" w:color="auto"/>
              <w:right w:val="single" w:sz="4" w:space="0" w:color="auto"/>
            </w:tcBorders>
            <w:shd w:val="clear" w:color="auto" w:fill="auto"/>
            <w:vAlign w:val="center"/>
            <w:hideMark/>
          </w:tcPr>
          <w:p w:rsidR="00474052" w:rsidRPr="00BD4B00" w:rsidRDefault="00474052" w:rsidP="00BD4B00">
            <w:pPr>
              <w:widowControl/>
              <w:autoSpaceDE/>
              <w:autoSpaceDN/>
              <w:bidi/>
              <w:adjustRightInd/>
              <w:spacing w:line="360" w:lineRule="auto"/>
              <w:jc w:val="center"/>
              <w:rPr>
                <w:rFonts w:asciiTheme="majorBidi" w:hAnsiTheme="majorBidi" w:cstheme="majorBidi"/>
                <w:b/>
                <w:bCs/>
                <w:color w:val="000000"/>
                <w:sz w:val="16"/>
                <w:szCs w:val="16"/>
              </w:rPr>
            </w:pPr>
            <w:r w:rsidRPr="00BD4B00">
              <w:rPr>
                <w:rFonts w:asciiTheme="majorBidi" w:hAnsiTheme="majorBidi" w:cstheme="majorBidi"/>
                <w:b/>
                <w:bCs/>
                <w:color w:val="000000"/>
                <w:sz w:val="16"/>
                <w:szCs w:val="16"/>
                <w:rtl/>
              </w:rPr>
              <w:t>ف4</w:t>
            </w:r>
          </w:p>
        </w:tc>
        <w:tc>
          <w:tcPr>
            <w:tcW w:w="0" w:type="auto"/>
            <w:tcBorders>
              <w:top w:val="nil"/>
              <w:left w:val="nil"/>
              <w:bottom w:val="single" w:sz="4" w:space="0" w:color="auto"/>
              <w:right w:val="single" w:sz="4" w:space="0" w:color="auto"/>
            </w:tcBorders>
            <w:shd w:val="clear" w:color="auto" w:fill="auto"/>
            <w:vAlign w:val="center"/>
            <w:hideMark/>
          </w:tcPr>
          <w:p w:rsidR="00474052" w:rsidRPr="00BD4B00" w:rsidRDefault="00474052" w:rsidP="00BD4B00">
            <w:pPr>
              <w:widowControl/>
              <w:autoSpaceDE/>
              <w:autoSpaceDN/>
              <w:bidi/>
              <w:adjustRightInd/>
              <w:spacing w:line="360" w:lineRule="auto"/>
              <w:jc w:val="center"/>
              <w:rPr>
                <w:rFonts w:asciiTheme="majorBidi" w:hAnsiTheme="majorBidi" w:cstheme="majorBidi"/>
                <w:b/>
                <w:bCs/>
                <w:color w:val="000000"/>
                <w:sz w:val="16"/>
                <w:szCs w:val="16"/>
              </w:rPr>
            </w:pPr>
            <w:r w:rsidRPr="00BD4B00">
              <w:rPr>
                <w:rFonts w:asciiTheme="majorBidi" w:hAnsiTheme="majorBidi" w:cstheme="majorBidi"/>
                <w:b/>
                <w:bCs/>
                <w:color w:val="000000"/>
                <w:sz w:val="16"/>
                <w:szCs w:val="16"/>
                <w:rtl/>
              </w:rPr>
              <w:t>ف 3</w:t>
            </w:r>
          </w:p>
        </w:tc>
        <w:tc>
          <w:tcPr>
            <w:tcW w:w="0" w:type="auto"/>
            <w:tcBorders>
              <w:top w:val="nil"/>
              <w:left w:val="nil"/>
              <w:bottom w:val="single" w:sz="4" w:space="0" w:color="auto"/>
              <w:right w:val="single" w:sz="4" w:space="0" w:color="auto"/>
            </w:tcBorders>
            <w:shd w:val="clear" w:color="auto" w:fill="auto"/>
            <w:vAlign w:val="center"/>
            <w:hideMark/>
          </w:tcPr>
          <w:p w:rsidR="00474052" w:rsidRPr="00BD4B00" w:rsidRDefault="00474052" w:rsidP="00BD4B00">
            <w:pPr>
              <w:widowControl/>
              <w:autoSpaceDE/>
              <w:autoSpaceDN/>
              <w:bidi/>
              <w:adjustRightInd/>
              <w:spacing w:line="360" w:lineRule="auto"/>
              <w:jc w:val="center"/>
              <w:rPr>
                <w:rFonts w:asciiTheme="majorBidi" w:hAnsiTheme="majorBidi" w:cstheme="majorBidi"/>
                <w:b/>
                <w:bCs/>
                <w:color w:val="000000"/>
                <w:sz w:val="16"/>
                <w:szCs w:val="16"/>
              </w:rPr>
            </w:pPr>
            <w:r w:rsidRPr="00BD4B00">
              <w:rPr>
                <w:rFonts w:asciiTheme="majorBidi" w:hAnsiTheme="majorBidi" w:cstheme="majorBidi"/>
                <w:b/>
                <w:bCs/>
                <w:color w:val="000000"/>
                <w:sz w:val="16"/>
                <w:szCs w:val="16"/>
                <w:rtl/>
              </w:rPr>
              <w:t>ف 2</w:t>
            </w:r>
          </w:p>
        </w:tc>
        <w:tc>
          <w:tcPr>
            <w:tcW w:w="0" w:type="auto"/>
            <w:tcBorders>
              <w:top w:val="nil"/>
              <w:left w:val="nil"/>
              <w:bottom w:val="single" w:sz="4" w:space="0" w:color="auto"/>
              <w:right w:val="single" w:sz="4" w:space="0" w:color="auto"/>
            </w:tcBorders>
            <w:shd w:val="clear" w:color="auto" w:fill="auto"/>
            <w:vAlign w:val="center"/>
            <w:hideMark/>
          </w:tcPr>
          <w:p w:rsidR="00474052" w:rsidRPr="00BD4B00" w:rsidRDefault="00474052" w:rsidP="00BD4B00">
            <w:pPr>
              <w:widowControl/>
              <w:autoSpaceDE/>
              <w:autoSpaceDN/>
              <w:bidi/>
              <w:adjustRightInd/>
              <w:spacing w:line="360" w:lineRule="auto"/>
              <w:jc w:val="center"/>
              <w:rPr>
                <w:rFonts w:asciiTheme="majorBidi" w:hAnsiTheme="majorBidi" w:cstheme="majorBidi"/>
                <w:b/>
                <w:bCs/>
                <w:color w:val="000000"/>
                <w:sz w:val="16"/>
                <w:szCs w:val="16"/>
              </w:rPr>
            </w:pPr>
            <w:r w:rsidRPr="00BD4B00">
              <w:rPr>
                <w:rFonts w:asciiTheme="majorBidi" w:hAnsiTheme="majorBidi" w:cstheme="majorBidi"/>
                <w:b/>
                <w:bCs/>
                <w:color w:val="000000"/>
                <w:sz w:val="16"/>
                <w:szCs w:val="16"/>
                <w:rtl/>
              </w:rPr>
              <w:t>ف 1</w:t>
            </w:r>
          </w:p>
        </w:tc>
        <w:tc>
          <w:tcPr>
            <w:tcW w:w="0" w:type="auto"/>
            <w:tcBorders>
              <w:top w:val="nil"/>
              <w:left w:val="nil"/>
              <w:bottom w:val="single" w:sz="4" w:space="0" w:color="auto"/>
              <w:right w:val="single" w:sz="4" w:space="0" w:color="auto"/>
            </w:tcBorders>
            <w:shd w:val="clear" w:color="auto" w:fill="auto"/>
            <w:vAlign w:val="center"/>
            <w:hideMark/>
          </w:tcPr>
          <w:p w:rsidR="00474052" w:rsidRPr="00BD4B00" w:rsidRDefault="00474052" w:rsidP="00BD4B00">
            <w:pPr>
              <w:widowControl/>
              <w:autoSpaceDE/>
              <w:autoSpaceDN/>
              <w:bidi/>
              <w:adjustRightInd/>
              <w:spacing w:line="360" w:lineRule="auto"/>
              <w:jc w:val="center"/>
              <w:rPr>
                <w:rFonts w:asciiTheme="majorBidi" w:hAnsiTheme="majorBidi" w:cstheme="majorBidi"/>
                <w:b/>
                <w:bCs/>
                <w:color w:val="000000"/>
                <w:sz w:val="16"/>
                <w:szCs w:val="16"/>
              </w:rPr>
            </w:pPr>
            <w:r w:rsidRPr="00BD4B00">
              <w:rPr>
                <w:rFonts w:asciiTheme="majorBidi" w:hAnsiTheme="majorBidi" w:cstheme="majorBidi"/>
                <w:b/>
                <w:bCs/>
                <w:color w:val="000000"/>
                <w:sz w:val="16"/>
                <w:szCs w:val="16"/>
                <w:rtl/>
              </w:rPr>
              <w:t>ف4</w:t>
            </w:r>
          </w:p>
        </w:tc>
        <w:tc>
          <w:tcPr>
            <w:tcW w:w="0" w:type="auto"/>
            <w:tcBorders>
              <w:top w:val="nil"/>
              <w:left w:val="nil"/>
              <w:bottom w:val="single" w:sz="4" w:space="0" w:color="auto"/>
              <w:right w:val="single" w:sz="4" w:space="0" w:color="auto"/>
            </w:tcBorders>
            <w:shd w:val="clear" w:color="auto" w:fill="auto"/>
            <w:vAlign w:val="center"/>
            <w:hideMark/>
          </w:tcPr>
          <w:p w:rsidR="00474052" w:rsidRPr="00BD4B00" w:rsidRDefault="00474052" w:rsidP="00BD4B00">
            <w:pPr>
              <w:widowControl/>
              <w:autoSpaceDE/>
              <w:autoSpaceDN/>
              <w:bidi/>
              <w:adjustRightInd/>
              <w:spacing w:line="360" w:lineRule="auto"/>
              <w:jc w:val="center"/>
              <w:rPr>
                <w:rFonts w:asciiTheme="majorBidi" w:hAnsiTheme="majorBidi" w:cstheme="majorBidi"/>
                <w:b/>
                <w:bCs/>
                <w:color w:val="000000"/>
                <w:sz w:val="16"/>
                <w:szCs w:val="16"/>
              </w:rPr>
            </w:pPr>
            <w:r w:rsidRPr="00BD4B00">
              <w:rPr>
                <w:rFonts w:asciiTheme="majorBidi" w:hAnsiTheme="majorBidi" w:cstheme="majorBidi"/>
                <w:b/>
                <w:bCs/>
                <w:color w:val="000000"/>
                <w:sz w:val="16"/>
                <w:szCs w:val="16"/>
                <w:rtl/>
              </w:rPr>
              <w:t>ف 3</w:t>
            </w:r>
          </w:p>
        </w:tc>
        <w:tc>
          <w:tcPr>
            <w:tcW w:w="0" w:type="auto"/>
            <w:tcBorders>
              <w:top w:val="nil"/>
              <w:left w:val="nil"/>
              <w:bottom w:val="single" w:sz="4" w:space="0" w:color="auto"/>
              <w:right w:val="single" w:sz="4" w:space="0" w:color="auto"/>
            </w:tcBorders>
            <w:shd w:val="clear" w:color="auto" w:fill="auto"/>
            <w:vAlign w:val="center"/>
            <w:hideMark/>
          </w:tcPr>
          <w:p w:rsidR="00474052" w:rsidRPr="00BD4B00" w:rsidRDefault="00474052" w:rsidP="00BD4B00">
            <w:pPr>
              <w:widowControl/>
              <w:autoSpaceDE/>
              <w:autoSpaceDN/>
              <w:bidi/>
              <w:adjustRightInd/>
              <w:spacing w:line="360" w:lineRule="auto"/>
              <w:jc w:val="center"/>
              <w:rPr>
                <w:rFonts w:asciiTheme="majorBidi" w:hAnsiTheme="majorBidi" w:cstheme="majorBidi"/>
                <w:b/>
                <w:bCs/>
                <w:color w:val="000000"/>
                <w:sz w:val="16"/>
                <w:szCs w:val="16"/>
              </w:rPr>
            </w:pPr>
            <w:r w:rsidRPr="00BD4B00">
              <w:rPr>
                <w:rFonts w:asciiTheme="majorBidi" w:hAnsiTheme="majorBidi" w:cstheme="majorBidi"/>
                <w:b/>
                <w:bCs/>
                <w:color w:val="000000"/>
                <w:sz w:val="16"/>
                <w:szCs w:val="16"/>
                <w:rtl/>
              </w:rPr>
              <w:t>ف 2</w:t>
            </w:r>
          </w:p>
        </w:tc>
        <w:tc>
          <w:tcPr>
            <w:tcW w:w="0" w:type="auto"/>
            <w:tcBorders>
              <w:top w:val="nil"/>
              <w:left w:val="nil"/>
              <w:bottom w:val="single" w:sz="4" w:space="0" w:color="auto"/>
              <w:right w:val="single" w:sz="4" w:space="0" w:color="auto"/>
            </w:tcBorders>
            <w:shd w:val="clear" w:color="auto" w:fill="auto"/>
            <w:vAlign w:val="center"/>
            <w:hideMark/>
          </w:tcPr>
          <w:p w:rsidR="00474052" w:rsidRPr="00BD4B00" w:rsidRDefault="00474052" w:rsidP="00BD4B00">
            <w:pPr>
              <w:widowControl/>
              <w:autoSpaceDE/>
              <w:autoSpaceDN/>
              <w:bidi/>
              <w:adjustRightInd/>
              <w:spacing w:line="360" w:lineRule="auto"/>
              <w:jc w:val="center"/>
              <w:rPr>
                <w:rFonts w:asciiTheme="majorBidi" w:hAnsiTheme="majorBidi" w:cstheme="majorBidi"/>
                <w:b/>
                <w:bCs/>
                <w:color w:val="000000"/>
                <w:sz w:val="16"/>
                <w:szCs w:val="16"/>
              </w:rPr>
            </w:pPr>
            <w:r w:rsidRPr="00BD4B00">
              <w:rPr>
                <w:rFonts w:asciiTheme="majorBidi" w:hAnsiTheme="majorBidi" w:cstheme="majorBidi"/>
                <w:b/>
                <w:bCs/>
                <w:color w:val="000000"/>
                <w:sz w:val="16"/>
                <w:szCs w:val="16"/>
                <w:rtl/>
              </w:rPr>
              <w:t>ف 1</w:t>
            </w:r>
          </w:p>
        </w:tc>
        <w:tc>
          <w:tcPr>
            <w:tcW w:w="0" w:type="auto"/>
            <w:tcBorders>
              <w:top w:val="nil"/>
              <w:left w:val="nil"/>
              <w:bottom w:val="single" w:sz="4" w:space="0" w:color="auto"/>
              <w:right w:val="single" w:sz="4" w:space="0" w:color="auto"/>
            </w:tcBorders>
            <w:shd w:val="clear" w:color="auto" w:fill="auto"/>
            <w:vAlign w:val="center"/>
            <w:hideMark/>
          </w:tcPr>
          <w:p w:rsidR="00474052" w:rsidRPr="00BD4B00" w:rsidRDefault="00474052" w:rsidP="00BD4B00">
            <w:pPr>
              <w:widowControl/>
              <w:autoSpaceDE/>
              <w:autoSpaceDN/>
              <w:bidi/>
              <w:adjustRightInd/>
              <w:spacing w:line="360" w:lineRule="auto"/>
              <w:jc w:val="center"/>
              <w:rPr>
                <w:rFonts w:asciiTheme="majorBidi" w:hAnsiTheme="majorBidi" w:cstheme="majorBidi"/>
                <w:b/>
                <w:bCs/>
                <w:color w:val="000000"/>
                <w:sz w:val="16"/>
                <w:szCs w:val="16"/>
              </w:rPr>
            </w:pPr>
            <w:r w:rsidRPr="00BD4B00">
              <w:rPr>
                <w:rFonts w:asciiTheme="majorBidi" w:hAnsiTheme="majorBidi" w:cstheme="majorBidi"/>
                <w:b/>
                <w:bCs/>
                <w:color w:val="000000"/>
                <w:sz w:val="16"/>
                <w:szCs w:val="16"/>
                <w:rtl/>
              </w:rPr>
              <w:t>ف4</w:t>
            </w:r>
          </w:p>
        </w:tc>
        <w:tc>
          <w:tcPr>
            <w:tcW w:w="0" w:type="auto"/>
            <w:tcBorders>
              <w:top w:val="nil"/>
              <w:left w:val="nil"/>
              <w:bottom w:val="single" w:sz="4" w:space="0" w:color="auto"/>
              <w:right w:val="single" w:sz="4" w:space="0" w:color="auto"/>
            </w:tcBorders>
            <w:shd w:val="clear" w:color="auto" w:fill="auto"/>
            <w:vAlign w:val="center"/>
            <w:hideMark/>
          </w:tcPr>
          <w:p w:rsidR="00474052" w:rsidRPr="00BD4B00" w:rsidRDefault="00474052" w:rsidP="00BD4B00">
            <w:pPr>
              <w:widowControl/>
              <w:autoSpaceDE/>
              <w:autoSpaceDN/>
              <w:bidi/>
              <w:adjustRightInd/>
              <w:spacing w:line="360" w:lineRule="auto"/>
              <w:jc w:val="center"/>
              <w:rPr>
                <w:rFonts w:asciiTheme="majorBidi" w:hAnsiTheme="majorBidi" w:cstheme="majorBidi"/>
                <w:b/>
                <w:bCs/>
                <w:color w:val="000000"/>
                <w:sz w:val="16"/>
                <w:szCs w:val="16"/>
              </w:rPr>
            </w:pPr>
            <w:r w:rsidRPr="00BD4B00">
              <w:rPr>
                <w:rFonts w:asciiTheme="majorBidi" w:hAnsiTheme="majorBidi" w:cstheme="majorBidi"/>
                <w:b/>
                <w:bCs/>
                <w:color w:val="000000"/>
                <w:sz w:val="16"/>
                <w:szCs w:val="16"/>
                <w:rtl/>
              </w:rPr>
              <w:t>ف 3</w:t>
            </w:r>
          </w:p>
        </w:tc>
        <w:tc>
          <w:tcPr>
            <w:tcW w:w="0" w:type="auto"/>
            <w:tcBorders>
              <w:top w:val="nil"/>
              <w:left w:val="nil"/>
              <w:bottom w:val="single" w:sz="4" w:space="0" w:color="auto"/>
              <w:right w:val="single" w:sz="4" w:space="0" w:color="auto"/>
            </w:tcBorders>
            <w:shd w:val="clear" w:color="auto" w:fill="auto"/>
            <w:vAlign w:val="center"/>
            <w:hideMark/>
          </w:tcPr>
          <w:p w:rsidR="00474052" w:rsidRPr="00BD4B00" w:rsidRDefault="00474052" w:rsidP="00BD4B00">
            <w:pPr>
              <w:widowControl/>
              <w:autoSpaceDE/>
              <w:autoSpaceDN/>
              <w:bidi/>
              <w:adjustRightInd/>
              <w:spacing w:line="360" w:lineRule="auto"/>
              <w:jc w:val="center"/>
              <w:rPr>
                <w:rFonts w:asciiTheme="majorBidi" w:hAnsiTheme="majorBidi" w:cstheme="majorBidi"/>
                <w:b/>
                <w:bCs/>
                <w:color w:val="000000"/>
                <w:sz w:val="16"/>
                <w:szCs w:val="16"/>
              </w:rPr>
            </w:pPr>
            <w:r w:rsidRPr="00BD4B00">
              <w:rPr>
                <w:rFonts w:asciiTheme="majorBidi" w:hAnsiTheme="majorBidi" w:cstheme="majorBidi"/>
                <w:b/>
                <w:bCs/>
                <w:color w:val="000000"/>
                <w:sz w:val="16"/>
                <w:szCs w:val="16"/>
                <w:rtl/>
              </w:rPr>
              <w:t>ف 2</w:t>
            </w:r>
          </w:p>
        </w:tc>
        <w:tc>
          <w:tcPr>
            <w:tcW w:w="0" w:type="auto"/>
            <w:tcBorders>
              <w:top w:val="nil"/>
              <w:left w:val="nil"/>
              <w:bottom w:val="single" w:sz="4" w:space="0" w:color="auto"/>
              <w:right w:val="single" w:sz="4" w:space="0" w:color="auto"/>
            </w:tcBorders>
            <w:shd w:val="clear" w:color="auto" w:fill="auto"/>
            <w:vAlign w:val="center"/>
            <w:hideMark/>
          </w:tcPr>
          <w:p w:rsidR="00474052" w:rsidRPr="00BD4B00" w:rsidRDefault="00474052" w:rsidP="00BD4B00">
            <w:pPr>
              <w:widowControl/>
              <w:autoSpaceDE/>
              <w:autoSpaceDN/>
              <w:bidi/>
              <w:adjustRightInd/>
              <w:spacing w:line="360" w:lineRule="auto"/>
              <w:jc w:val="center"/>
              <w:rPr>
                <w:rFonts w:asciiTheme="majorBidi" w:hAnsiTheme="majorBidi" w:cstheme="majorBidi"/>
                <w:b/>
                <w:bCs/>
                <w:color w:val="000000"/>
                <w:sz w:val="16"/>
                <w:szCs w:val="16"/>
              </w:rPr>
            </w:pPr>
            <w:r w:rsidRPr="00BD4B00">
              <w:rPr>
                <w:rFonts w:asciiTheme="majorBidi" w:hAnsiTheme="majorBidi" w:cstheme="majorBidi"/>
                <w:b/>
                <w:bCs/>
                <w:color w:val="000000"/>
                <w:sz w:val="16"/>
                <w:szCs w:val="16"/>
                <w:rtl/>
              </w:rPr>
              <w:t>ف 1</w:t>
            </w:r>
          </w:p>
        </w:tc>
        <w:tc>
          <w:tcPr>
            <w:tcW w:w="0" w:type="auto"/>
            <w:tcBorders>
              <w:top w:val="nil"/>
              <w:left w:val="nil"/>
              <w:bottom w:val="single" w:sz="4" w:space="0" w:color="auto"/>
              <w:right w:val="single" w:sz="4" w:space="0" w:color="auto"/>
            </w:tcBorders>
            <w:shd w:val="clear" w:color="auto" w:fill="auto"/>
            <w:vAlign w:val="center"/>
            <w:hideMark/>
          </w:tcPr>
          <w:p w:rsidR="00474052" w:rsidRPr="00BD4B00" w:rsidRDefault="00474052" w:rsidP="00BD4B00">
            <w:pPr>
              <w:widowControl/>
              <w:autoSpaceDE/>
              <w:autoSpaceDN/>
              <w:bidi/>
              <w:adjustRightInd/>
              <w:spacing w:line="360" w:lineRule="auto"/>
              <w:jc w:val="center"/>
              <w:rPr>
                <w:rFonts w:asciiTheme="majorBidi" w:hAnsiTheme="majorBidi" w:cstheme="majorBidi"/>
                <w:b/>
                <w:bCs/>
                <w:color w:val="000000"/>
                <w:sz w:val="16"/>
                <w:szCs w:val="16"/>
              </w:rPr>
            </w:pPr>
            <w:r w:rsidRPr="00BD4B00">
              <w:rPr>
                <w:rFonts w:asciiTheme="majorBidi" w:hAnsiTheme="majorBidi" w:cstheme="majorBidi"/>
                <w:b/>
                <w:bCs/>
                <w:color w:val="000000"/>
                <w:sz w:val="16"/>
                <w:szCs w:val="16"/>
                <w:rtl/>
              </w:rPr>
              <w:t>ف4</w:t>
            </w:r>
          </w:p>
        </w:tc>
        <w:tc>
          <w:tcPr>
            <w:tcW w:w="0" w:type="auto"/>
            <w:tcBorders>
              <w:top w:val="nil"/>
              <w:left w:val="nil"/>
              <w:bottom w:val="single" w:sz="4" w:space="0" w:color="auto"/>
              <w:right w:val="single" w:sz="4" w:space="0" w:color="auto"/>
            </w:tcBorders>
            <w:shd w:val="clear" w:color="auto" w:fill="auto"/>
            <w:vAlign w:val="center"/>
            <w:hideMark/>
          </w:tcPr>
          <w:p w:rsidR="00474052" w:rsidRPr="00BD4B00" w:rsidRDefault="00474052" w:rsidP="00BD4B00">
            <w:pPr>
              <w:widowControl/>
              <w:autoSpaceDE/>
              <w:autoSpaceDN/>
              <w:bidi/>
              <w:adjustRightInd/>
              <w:spacing w:line="360" w:lineRule="auto"/>
              <w:jc w:val="center"/>
              <w:rPr>
                <w:rFonts w:asciiTheme="majorBidi" w:hAnsiTheme="majorBidi" w:cstheme="majorBidi"/>
                <w:b/>
                <w:bCs/>
                <w:color w:val="000000"/>
                <w:sz w:val="16"/>
                <w:szCs w:val="16"/>
              </w:rPr>
            </w:pPr>
            <w:r w:rsidRPr="00BD4B00">
              <w:rPr>
                <w:rFonts w:asciiTheme="majorBidi" w:hAnsiTheme="majorBidi" w:cstheme="majorBidi"/>
                <w:b/>
                <w:bCs/>
                <w:color w:val="000000"/>
                <w:sz w:val="16"/>
                <w:szCs w:val="16"/>
                <w:rtl/>
              </w:rPr>
              <w:t>ف3</w:t>
            </w:r>
          </w:p>
        </w:tc>
        <w:tc>
          <w:tcPr>
            <w:tcW w:w="0" w:type="auto"/>
            <w:tcBorders>
              <w:top w:val="nil"/>
              <w:left w:val="nil"/>
              <w:bottom w:val="single" w:sz="4" w:space="0" w:color="auto"/>
              <w:right w:val="single" w:sz="4" w:space="0" w:color="auto"/>
            </w:tcBorders>
            <w:shd w:val="clear" w:color="auto" w:fill="auto"/>
            <w:vAlign w:val="center"/>
            <w:hideMark/>
          </w:tcPr>
          <w:p w:rsidR="00474052" w:rsidRPr="00BD4B00" w:rsidRDefault="00474052" w:rsidP="00BD4B00">
            <w:pPr>
              <w:widowControl/>
              <w:autoSpaceDE/>
              <w:autoSpaceDN/>
              <w:bidi/>
              <w:adjustRightInd/>
              <w:spacing w:line="360" w:lineRule="auto"/>
              <w:jc w:val="center"/>
              <w:rPr>
                <w:rFonts w:asciiTheme="majorBidi" w:hAnsiTheme="majorBidi" w:cstheme="majorBidi"/>
                <w:b/>
                <w:bCs/>
                <w:color w:val="000000"/>
                <w:sz w:val="16"/>
                <w:szCs w:val="16"/>
              </w:rPr>
            </w:pPr>
            <w:r w:rsidRPr="00BD4B00">
              <w:rPr>
                <w:rFonts w:asciiTheme="majorBidi" w:hAnsiTheme="majorBidi" w:cstheme="majorBidi"/>
                <w:b/>
                <w:bCs/>
                <w:color w:val="000000"/>
                <w:sz w:val="16"/>
                <w:szCs w:val="16"/>
                <w:rtl/>
              </w:rPr>
              <w:t>ف2</w:t>
            </w:r>
          </w:p>
        </w:tc>
        <w:tc>
          <w:tcPr>
            <w:tcW w:w="0" w:type="auto"/>
            <w:tcBorders>
              <w:top w:val="nil"/>
              <w:left w:val="nil"/>
              <w:bottom w:val="single" w:sz="4" w:space="0" w:color="auto"/>
              <w:right w:val="single" w:sz="4" w:space="0" w:color="auto"/>
            </w:tcBorders>
            <w:shd w:val="clear" w:color="auto" w:fill="auto"/>
            <w:vAlign w:val="center"/>
            <w:hideMark/>
          </w:tcPr>
          <w:p w:rsidR="00474052" w:rsidRPr="00BD4B00" w:rsidRDefault="00474052" w:rsidP="00BD4B00">
            <w:pPr>
              <w:widowControl/>
              <w:autoSpaceDE/>
              <w:autoSpaceDN/>
              <w:bidi/>
              <w:adjustRightInd/>
              <w:spacing w:line="360" w:lineRule="auto"/>
              <w:jc w:val="center"/>
              <w:rPr>
                <w:rFonts w:asciiTheme="majorBidi" w:hAnsiTheme="majorBidi" w:cstheme="majorBidi"/>
                <w:b/>
                <w:bCs/>
                <w:color w:val="000000"/>
                <w:sz w:val="16"/>
                <w:szCs w:val="16"/>
              </w:rPr>
            </w:pPr>
            <w:r w:rsidRPr="00BD4B00">
              <w:rPr>
                <w:rFonts w:asciiTheme="majorBidi" w:hAnsiTheme="majorBidi" w:cstheme="majorBidi"/>
                <w:b/>
                <w:bCs/>
                <w:color w:val="000000"/>
                <w:sz w:val="16"/>
                <w:szCs w:val="16"/>
                <w:rtl/>
              </w:rPr>
              <w:t>ف 1</w:t>
            </w:r>
          </w:p>
        </w:tc>
        <w:tc>
          <w:tcPr>
            <w:tcW w:w="0" w:type="auto"/>
            <w:tcBorders>
              <w:top w:val="nil"/>
              <w:left w:val="nil"/>
              <w:bottom w:val="single" w:sz="4" w:space="0" w:color="auto"/>
              <w:right w:val="single" w:sz="4" w:space="0" w:color="auto"/>
            </w:tcBorders>
            <w:shd w:val="clear" w:color="auto" w:fill="auto"/>
            <w:vAlign w:val="center"/>
            <w:hideMark/>
          </w:tcPr>
          <w:p w:rsidR="00474052" w:rsidRPr="00BD4B00" w:rsidRDefault="00474052" w:rsidP="00BD4B00">
            <w:pPr>
              <w:widowControl/>
              <w:autoSpaceDE/>
              <w:autoSpaceDN/>
              <w:bidi/>
              <w:adjustRightInd/>
              <w:spacing w:line="360" w:lineRule="auto"/>
              <w:jc w:val="center"/>
              <w:rPr>
                <w:rFonts w:asciiTheme="majorBidi" w:hAnsiTheme="majorBidi" w:cstheme="majorBidi"/>
                <w:b/>
                <w:bCs/>
                <w:color w:val="000000"/>
                <w:sz w:val="16"/>
                <w:szCs w:val="16"/>
              </w:rPr>
            </w:pPr>
            <w:r w:rsidRPr="00BD4B00">
              <w:rPr>
                <w:rFonts w:asciiTheme="majorBidi" w:hAnsiTheme="majorBidi" w:cstheme="majorBidi"/>
                <w:b/>
                <w:bCs/>
                <w:color w:val="000000"/>
                <w:sz w:val="16"/>
                <w:szCs w:val="16"/>
                <w:rtl/>
              </w:rPr>
              <w:t>ف4</w:t>
            </w:r>
          </w:p>
        </w:tc>
        <w:tc>
          <w:tcPr>
            <w:tcW w:w="0" w:type="auto"/>
            <w:tcBorders>
              <w:top w:val="nil"/>
              <w:left w:val="nil"/>
              <w:bottom w:val="single" w:sz="4" w:space="0" w:color="auto"/>
              <w:right w:val="single" w:sz="4" w:space="0" w:color="auto"/>
            </w:tcBorders>
            <w:shd w:val="clear" w:color="auto" w:fill="auto"/>
            <w:vAlign w:val="center"/>
            <w:hideMark/>
          </w:tcPr>
          <w:p w:rsidR="00474052" w:rsidRPr="00BD4B00" w:rsidRDefault="00474052" w:rsidP="00BD4B00">
            <w:pPr>
              <w:widowControl/>
              <w:autoSpaceDE/>
              <w:autoSpaceDN/>
              <w:bidi/>
              <w:adjustRightInd/>
              <w:spacing w:line="360" w:lineRule="auto"/>
              <w:jc w:val="center"/>
              <w:rPr>
                <w:rFonts w:asciiTheme="majorBidi" w:hAnsiTheme="majorBidi" w:cstheme="majorBidi"/>
                <w:b/>
                <w:bCs/>
                <w:color w:val="000000"/>
                <w:sz w:val="16"/>
                <w:szCs w:val="16"/>
              </w:rPr>
            </w:pPr>
            <w:r w:rsidRPr="00BD4B00">
              <w:rPr>
                <w:rFonts w:asciiTheme="majorBidi" w:hAnsiTheme="majorBidi" w:cstheme="majorBidi"/>
                <w:b/>
                <w:bCs/>
                <w:color w:val="000000"/>
                <w:sz w:val="16"/>
                <w:szCs w:val="16"/>
                <w:rtl/>
              </w:rPr>
              <w:t>ف 3</w:t>
            </w:r>
          </w:p>
        </w:tc>
        <w:tc>
          <w:tcPr>
            <w:tcW w:w="0" w:type="auto"/>
            <w:tcBorders>
              <w:top w:val="nil"/>
              <w:left w:val="nil"/>
              <w:bottom w:val="single" w:sz="4" w:space="0" w:color="auto"/>
              <w:right w:val="single" w:sz="4" w:space="0" w:color="auto"/>
            </w:tcBorders>
            <w:shd w:val="clear" w:color="auto" w:fill="auto"/>
            <w:vAlign w:val="center"/>
            <w:hideMark/>
          </w:tcPr>
          <w:p w:rsidR="00474052" w:rsidRPr="00BD4B00" w:rsidRDefault="00474052" w:rsidP="00BD4B00">
            <w:pPr>
              <w:widowControl/>
              <w:autoSpaceDE/>
              <w:autoSpaceDN/>
              <w:bidi/>
              <w:adjustRightInd/>
              <w:spacing w:line="360" w:lineRule="auto"/>
              <w:jc w:val="center"/>
              <w:rPr>
                <w:rFonts w:asciiTheme="majorBidi" w:hAnsiTheme="majorBidi" w:cstheme="majorBidi"/>
                <w:b/>
                <w:bCs/>
                <w:color w:val="000000"/>
                <w:sz w:val="16"/>
                <w:szCs w:val="16"/>
              </w:rPr>
            </w:pPr>
            <w:r w:rsidRPr="00BD4B00">
              <w:rPr>
                <w:rFonts w:asciiTheme="majorBidi" w:hAnsiTheme="majorBidi" w:cstheme="majorBidi"/>
                <w:b/>
                <w:bCs/>
                <w:color w:val="000000"/>
                <w:sz w:val="16"/>
                <w:szCs w:val="16"/>
                <w:rtl/>
              </w:rPr>
              <w:t>ف 2</w:t>
            </w:r>
          </w:p>
        </w:tc>
        <w:tc>
          <w:tcPr>
            <w:tcW w:w="0" w:type="auto"/>
            <w:tcBorders>
              <w:top w:val="nil"/>
              <w:left w:val="nil"/>
              <w:bottom w:val="single" w:sz="4" w:space="0" w:color="auto"/>
              <w:right w:val="single" w:sz="4" w:space="0" w:color="auto"/>
            </w:tcBorders>
            <w:shd w:val="clear" w:color="auto" w:fill="auto"/>
            <w:vAlign w:val="center"/>
            <w:hideMark/>
          </w:tcPr>
          <w:p w:rsidR="00474052" w:rsidRPr="00BD4B00" w:rsidRDefault="00474052" w:rsidP="00BD4B00">
            <w:pPr>
              <w:widowControl/>
              <w:autoSpaceDE/>
              <w:autoSpaceDN/>
              <w:bidi/>
              <w:adjustRightInd/>
              <w:spacing w:line="360" w:lineRule="auto"/>
              <w:jc w:val="center"/>
              <w:rPr>
                <w:rFonts w:asciiTheme="majorBidi" w:hAnsiTheme="majorBidi" w:cstheme="majorBidi"/>
                <w:b/>
                <w:bCs/>
                <w:color w:val="000000"/>
                <w:sz w:val="16"/>
                <w:szCs w:val="16"/>
              </w:rPr>
            </w:pPr>
            <w:r w:rsidRPr="00BD4B00">
              <w:rPr>
                <w:rFonts w:asciiTheme="majorBidi" w:hAnsiTheme="majorBidi" w:cstheme="majorBidi"/>
                <w:b/>
                <w:bCs/>
                <w:color w:val="000000"/>
                <w:sz w:val="16"/>
                <w:szCs w:val="16"/>
                <w:rtl/>
              </w:rPr>
              <w:t>ف 1</w:t>
            </w:r>
          </w:p>
        </w:tc>
        <w:tc>
          <w:tcPr>
            <w:tcW w:w="0" w:type="auto"/>
            <w:vMerge/>
            <w:tcBorders>
              <w:left w:val="single" w:sz="4" w:space="0" w:color="auto"/>
              <w:bottom w:val="single" w:sz="4" w:space="0" w:color="auto"/>
              <w:right w:val="single" w:sz="4" w:space="0" w:color="auto"/>
            </w:tcBorders>
            <w:vAlign w:val="center"/>
            <w:hideMark/>
          </w:tcPr>
          <w:p w:rsidR="00474052" w:rsidRPr="00BD4B00" w:rsidRDefault="00474052" w:rsidP="00BD4B00">
            <w:pPr>
              <w:widowControl/>
              <w:autoSpaceDE/>
              <w:autoSpaceDN/>
              <w:adjustRightInd/>
              <w:spacing w:line="360" w:lineRule="auto"/>
              <w:rPr>
                <w:rFonts w:asciiTheme="majorBidi" w:hAnsiTheme="majorBidi" w:cstheme="majorBidi"/>
                <w:b/>
                <w:bCs/>
                <w:color w:val="000000"/>
                <w:sz w:val="16"/>
                <w:szCs w:val="16"/>
              </w:rPr>
            </w:pPr>
          </w:p>
        </w:tc>
      </w:tr>
      <w:tr w:rsidR="00696211" w:rsidRPr="00BD4B00" w:rsidTr="00BD4B00">
        <w:trPr>
          <w:trHeight w:val="591"/>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352124" w:rsidRPr="00BD4B00" w:rsidRDefault="00352124" w:rsidP="00BD4B00">
            <w:pPr>
              <w:widowControl/>
              <w:autoSpaceDE/>
              <w:autoSpaceDN/>
              <w:adjustRightInd/>
              <w:spacing w:line="360" w:lineRule="auto"/>
              <w:jc w:val="center"/>
              <w:rPr>
                <w:rFonts w:asciiTheme="majorBidi" w:hAnsiTheme="majorBidi" w:cstheme="majorBidi"/>
                <w:b/>
                <w:bCs/>
                <w:color w:val="000000"/>
                <w:sz w:val="16"/>
                <w:szCs w:val="16"/>
              </w:rPr>
            </w:pPr>
            <w:r w:rsidRPr="00BD4B00">
              <w:rPr>
                <w:rFonts w:asciiTheme="majorBidi" w:hAnsiTheme="majorBidi" w:cstheme="majorBidi"/>
                <w:b/>
                <w:bCs/>
                <w:color w:val="000000"/>
                <w:sz w:val="16"/>
                <w:szCs w:val="16"/>
              </w:rPr>
              <w:t>46,6</w:t>
            </w:r>
          </w:p>
        </w:tc>
        <w:tc>
          <w:tcPr>
            <w:tcW w:w="590" w:type="dxa"/>
            <w:tcBorders>
              <w:top w:val="nil"/>
              <w:left w:val="nil"/>
              <w:bottom w:val="single" w:sz="4" w:space="0" w:color="auto"/>
              <w:right w:val="single" w:sz="4" w:space="0" w:color="auto"/>
            </w:tcBorders>
            <w:shd w:val="clear" w:color="auto" w:fill="auto"/>
            <w:vAlign w:val="center"/>
            <w:hideMark/>
          </w:tcPr>
          <w:p w:rsidR="00352124" w:rsidRPr="00BD4B00" w:rsidRDefault="00352124" w:rsidP="00BD4B00">
            <w:pPr>
              <w:widowControl/>
              <w:autoSpaceDE/>
              <w:autoSpaceDN/>
              <w:adjustRightInd/>
              <w:spacing w:line="360" w:lineRule="auto"/>
              <w:jc w:val="center"/>
              <w:rPr>
                <w:rFonts w:asciiTheme="majorBidi" w:hAnsiTheme="majorBidi" w:cstheme="majorBidi"/>
                <w:b/>
                <w:bCs/>
                <w:color w:val="000000"/>
                <w:sz w:val="16"/>
                <w:szCs w:val="16"/>
              </w:rPr>
            </w:pPr>
            <w:r w:rsidRPr="00BD4B00">
              <w:rPr>
                <w:rFonts w:asciiTheme="majorBidi" w:hAnsiTheme="majorBidi" w:cstheme="majorBidi"/>
                <w:b/>
                <w:bCs/>
                <w:color w:val="000000"/>
                <w:sz w:val="16"/>
                <w:szCs w:val="16"/>
              </w:rPr>
              <w:t>47,4</w:t>
            </w:r>
          </w:p>
        </w:tc>
        <w:tc>
          <w:tcPr>
            <w:tcW w:w="0" w:type="auto"/>
            <w:tcBorders>
              <w:top w:val="nil"/>
              <w:left w:val="nil"/>
              <w:bottom w:val="single" w:sz="4" w:space="0" w:color="auto"/>
              <w:right w:val="single" w:sz="4" w:space="0" w:color="auto"/>
            </w:tcBorders>
            <w:shd w:val="clear" w:color="auto" w:fill="auto"/>
            <w:vAlign w:val="center"/>
            <w:hideMark/>
          </w:tcPr>
          <w:p w:rsidR="00352124" w:rsidRPr="00BD4B00" w:rsidRDefault="00352124" w:rsidP="00BD4B00">
            <w:pPr>
              <w:widowControl/>
              <w:autoSpaceDE/>
              <w:autoSpaceDN/>
              <w:adjustRightInd/>
              <w:spacing w:line="360" w:lineRule="auto"/>
              <w:jc w:val="center"/>
              <w:rPr>
                <w:rFonts w:asciiTheme="majorBidi" w:hAnsiTheme="majorBidi" w:cstheme="majorBidi"/>
                <w:b/>
                <w:bCs/>
                <w:color w:val="000000"/>
                <w:sz w:val="16"/>
                <w:szCs w:val="16"/>
              </w:rPr>
            </w:pPr>
            <w:r w:rsidRPr="00BD4B00">
              <w:rPr>
                <w:rFonts w:asciiTheme="majorBidi" w:hAnsiTheme="majorBidi" w:cstheme="majorBidi"/>
                <w:b/>
                <w:bCs/>
                <w:color w:val="000000"/>
                <w:sz w:val="16"/>
                <w:szCs w:val="16"/>
              </w:rPr>
              <w:t>50,1</w:t>
            </w:r>
          </w:p>
        </w:tc>
        <w:tc>
          <w:tcPr>
            <w:tcW w:w="0" w:type="auto"/>
            <w:tcBorders>
              <w:top w:val="nil"/>
              <w:left w:val="nil"/>
              <w:bottom w:val="single" w:sz="4" w:space="0" w:color="auto"/>
              <w:right w:val="single" w:sz="4" w:space="0" w:color="auto"/>
            </w:tcBorders>
            <w:shd w:val="clear" w:color="auto" w:fill="auto"/>
            <w:vAlign w:val="center"/>
            <w:hideMark/>
          </w:tcPr>
          <w:p w:rsidR="00352124" w:rsidRPr="00BD4B00" w:rsidRDefault="00352124" w:rsidP="00BD4B00">
            <w:pPr>
              <w:widowControl/>
              <w:autoSpaceDE/>
              <w:autoSpaceDN/>
              <w:adjustRightInd/>
              <w:spacing w:line="360" w:lineRule="auto"/>
              <w:jc w:val="center"/>
              <w:rPr>
                <w:rFonts w:asciiTheme="majorBidi" w:hAnsiTheme="majorBidi" w:cstheme="majorBidi"/>
                <w:b/>
                <w:bCs/>
                <w:color w:val="000000"/>
                <w:sz w:val="16"/>
                <w:szCs w:val="16"/>
              </w:rPr>
            </w:pPr>
            <w:r w:rsidRPr="00BD4B00">
              <w:rPr>
                <w:rFonts w:asciiTheme="majorBidi" w:hAnsiTheme="majorBidi" w:cstheme="majorBidi"/>
                <w:b/>
                <w:bCs/>
                <w:color w:val="000000"/>
                <w:sz w:val="16"/>
                <w:szCs w:val="16"/>
              </w:rPr>
              <w:t>53,7</w:t>
            </w:r>
          </w:p>
        </w:tc>
        <w:tc>
          <w:tcPr>
            <w:tcW w:w="0" w:type="auto"/>
            <w:tcBorders>
              <w:top w:val="nil"/>
              <w:left w:val="nil"/>
              <w:bottom w:val="single" w:sz="4" w:space="0" w:color="auto"/>
              <w:right w:val="single" w:sz="4" w:space="0" w:color="auto"/>
            </w:tcBorders>
            <w:shd w:val="clear" w:color="auto" w:fill="auto"/>
            <w:vAlign w:val="center"/>
            <w:hideMark/>
          </w:tcPr>
          <w:p w:rsidR="00352124" w:rsidRPr="00BD4B00" w:rsidRDefault="00352124" w:rsidP="00BD4B00">
            <w:pPr>
              <w:widowControl/>
              <w:autoSpaceDE/>
              <w:autoSpaceDN/>
              <w:adjustRightInd/>
              <w:spacing w:line="360" w:lineRule="auto"/>
              <w:jc w:val="center"/>
              <w:rPr>
                <w:rFonts w:asciiTheme="majorBidi" w:hAnsiTheme="majorBidi" w:cstheme="majorBidi"/>
                <w:b/>
                <w:bCs/>
                <w:color w:val="000000"/>
                <w:sz w:val="16"/>
                <w:szCs w:val="16"/>
              </w:rPr>
            </w:pPr>
            <w:r w:rsidRPr="00BD4B00">
              <w:rPr>
                <w:rFonts w:asciiTheme="majorBidi" w:hAnsiTheme="majorBidi" w:cstheme="majorBidi"/>
                <w:b/>
                <w:bCs/>
                <w:color w:val="000000"/>
                <w:sz w:val="16"/>
                <w:szCs w:val="16"/>
              </w:rPr>
              <w:t>61,2</w:t>
            </w:r>
          </w:p>
        </w:tc>
        <w:tc>
          <w:tcPr>
            <w:tcW w:w="0" w:type="auto"/>
            <w:tcBorders>
              <w:top w:val="nil"/>
              <w:left w:val="nil"/>
              <w:bottom w:val="single" w:sz="4" w:space="0" w:color="auto"/>
              <w:right w:val="single" w:sz="4" w:space="0" w:color="auto"/>
            </w:tcBorders>
            <w:shd w:val="clear" w:color="auto" w:fill="auto"/>
            <w:vAlign w:val="center"/>
            <w:hideMark/>
          </w:tcPr>
          <w:p w:rsidR="00352124" w:rsidRPr="00BD4B00" w:rsidRDefault="00352124" w:rsidP="00BD4B00">
            <w:pPr>
              <w:widowControl/>
              <w:autoSpaceDE/>
              <w:autoSpaceDN/>
              <w:adjustRightInd/>
              <w:spacing w:line="360" w:lineRule="auto"/>
              <w:jc w:val="center"/>
              <w:rPr>
                <w:rFonts w:asciiTheme="majorBidi" w:hAnsiTheme="majorBidi" w:cstheme="majorBidi"/>
                <w:b/>
                <w:bCs/>
                <w:color w:val="000000"/>
                <w:sz w:val="16"/>
                <w:szCs w:val="16"/>
              </w:rPr>
            </w:pPr>
            <w:r w:rsidRPr="00BD4B00">
              <w:rPr>
                <w:rFonts w:asciiTheme="majorBidi" w:hAnsiTheme="majorBidi" w:cstheme="majorBidi"/>
                <w:b/>
                <w:bCs/>
                <w:color w:val="000000"/>
                <w:sz w:val="16"/>
                <w:szCs w:val="16"/>
              </w:rPr>
              <w:t>65,5</w:t>
            </w:r>
          </w:p>
        </w:tc>
        <w:tc>
          <w:tcPr>
            <w:tcW w:w="0" w:type="auto"/>
            <w:tcBorders>
              <w:top w:val="nil"/>
              <w:left w:val="nil"/>
              <w:bottom w:val="single" w:sz="4" w:space="0" w:color="auto"/>
              <w:right w:val="single" w:sz="4" w:space="0" w:color="auto"/>
            </w:tcBorders>
            <w:shd w:val="clear" w:color="auto" w:fill="auto"/>
            <w:vAlign w:val="center"/>
            <w:hideMark/>
          </w:tcPr>
          <w:p w:rsidR="00352124" w:rsidRPr="00BD4B00" w:rsidRDefault="00352124" w:rsidP="00BD4B00">
            <w:pPr>
              <w:widowControl/>
              <w:autoSpaceDE/>
              <w:autoSpaceDN/>
              <w:adjustRightInd/>
              <w:spacing w:line="360" w:lineRule="auto"/>
              <w:jc w:val="center"/>
              <w:rPr>
                <w:rFonts w:asciiTheme="majorBidi" w:hAnsiTheme="majorBidi" w:cstheme="majorBidi"/>
                <w:b/>
                <w:bCs/>
                <w:color w:val="000000"/>
                <w:sz w:val="16"/>
                <w:szCs w:val="16"/>
              </w:rPr>
            </w:pPr>
            <w:r w:rsidRPr="00BD4B00">
              <w:rPr>
                <w:rFonts w:asciiTheme="majorBidi" w:hAnsiTheme="majorBidi" w:cstheme="majorBidi"/>
                <w:b/>
                <w:bCs/>
                <w:color w:val="000000"/>
                <w:sz w:val="16"/>
                <w:szCs w:val="16"/>
              </w:rPr>
              <w:t>63</w:t>
            </w:r>
          </w:p>
        </w:tc>
        <w:tc>
          <w:tcPr>
            <w:tcW w:w="0" w:type="auto"/>
            <w:tcBorders>
              <w:top w:val="nil"/>
              <w:left w:val="nil"/>
              <w:bottom w:val="single" w:sz="4" w:space="0" w:color="auto"/>
              <w:right w:val="single" w:sz="4" w:space="0" w:color="auto"/>
            </w:tcBorders>
            <w:shd w:val="clear" w:color="auto" w:fill="auto"/>
            <w:vAlign w:val="center"/>
            <w:hideMark/>
          </w:tcPr>
          <w:p w:rsidR="00352124" w:rsidRPr="00BD4B00" w:rsidRDefault="00352124" w:rsidP="00BD4B00">
            <w:pPr>
              <w:widowControl/>
              <w:autoSpaceDE/>
              <w:autoSpaceDN/>
              <w:adjustRightInd/>
              <w:spacing w:line="360" w:lineRule="auto"/>
              <w:jc w:val="center"/>
              <w:rPr>
                <w:rFonts w:asciiTheme="majorBidi" w:hAnsiTheme="majorBidi" w:cstheme="majorBidi"/>
                <w:b/>
                <w:bCs/>
                <w:color w:val="000000"/>
                <w:sz w:val="16"/>
                <w:szCs w:val="16"/>
              </w:rPr>
            </w:pPr>
            <w:r w:rsidRPr="00BD4B00">
              <w:rPr>
                <w:rFonts w:asciiTheme="majorBidi" w:hAnsiTheme="majorBidi" w:cstheme="majorBidi"/>
                <w:b/>
                <w:bCs/>
                <w:color w:val="000000"/>
                <w:sz w:val="16"/>
                <w:szCs w:val="16"/>
              </w:rPr>
              <w:t>68,3</w:t>
            </w:r>
          </w:p>
        </w:tc>
        <w:tc>
          <w:tcPr>
            <w:tcW w:w="0" w:type="auto"/>
            <w:tcBorders>
              <w:top w:val="nil"/>
              <w:left w:val="nil"/>
              <w:bottom w:val="single" w:sz="4" w:space="0" w:color="auto"/>
              <w:right w:val="single" w:sz="4" w:space="0" w:color="auto"/>
            </w:tcBorders>
            <w:shd w:val="clear" w:color="auto" w:fill="auto"/>
            <w:vAlign w:val="center"/>
            <w:hideMark/>
          </w:tcPr>
          <w:p w:rsidR="00352124" w:rsidRPr="00BD4B00" w:rsidRDefault="00352124" w:rsidP="00BD4B00">
            <w:pPr>
              <w:widowControl/>
              <w:autoSpaceDE/>
              <w:autoSpaceDN/>
              <w:adjustRightInd/>
              <w:spacing w:line="360" w:lineRule="auto"/>
              <w:jc w:val="center"/>
              <w:rPr>
                <w:rFonts w:asciiTheme="majorBidi" w:hAnsiTheme="majorBidi" w:cstheme="majorBidi"/>
                <w:b/>
                <w:bCs/>
                <w:color w:val="000000"/>
                <w:sz w:val="16"/>
                <w:szCs w:val="16"/>
              </w:rPr>
            </w:pPr>
            <w:r w:rsidRPr="00BD4B00">
              <w:rPr>
                <w:rFonts w:asciiTheme="majorBidi" w:hAnsiTheme="majorBidi" w:cstheme="majorBidi"/>
                <w:b/>
                <w:bCs/>
                <w:color w:val="000000"/>
                <w:sz w:val="16"/>
                <w:szCs w:val="16"/>
              </w:rPr>
              <w:t>61,2</w:t>
            </w:r>
          </w:p>
        </w:tc>
        <w:tc>
          <w:tcPr>
            <w:tcW w:w="0" w:type="auto"/>
            <w:tcBorders>
              <w:top w:val="nil"/>
              <w:left w:val="nil"/>
              <w:bottom w:val="single" w:sz="4" w:space="0" w:color="auto"/>
              <w:right w:val="single" w:sz="4" w:space="0" w:color="auto"/>
            </w:tcBorders>
            <w:shd w:val="clear" w:color="auto" w:fill="auto"/>
            <w:vAlign w:val="center"/>
            <w:hideMark/>
          </w:tcPr>
          <w:p w:rsidR="00352124" w:rsidRPr="00BD4B00" w:rsidRDefault="00352124" w:rsidP="00BD4B00">
            <w:pPr>
              <w:widowControl/>
              <w:autoSpaceDE/>
              <w:autoSpaceDN/>
              <w:adjustRightInd/>
              <w:spacing w:line="360" w:lineRule="auto"/>
              <w:jc w:val="center"/>
              <w:rPr>
                <w:rFonts w:asciiTheme="majorBidi" w:hAnsiTheme="majorBidi" w:cstheme="majorBidi"/>
                <w:b/>
                <w:bCs/>
                <w:color w:val="000000"/>
                <w:sz w:val="16"/>
                <w:szCs w:val="16"/>
              </w:rPr>
            </w:pPr>
            <w:r w:rsidRPr="00BD4B00">
              <w:rPr>
                <w:rFonts w:asciiTheme="majorBidi" w:hAnsiTheme="majorBidi" w:cstheme="majorBidi"/>
                <w:b/>
                <w:bCs/>
                <w:color w:val="000000"/>
                <w:sz w:val="16"/>
                <w:szCs w:val="16"/>
              </w:rPr>
              <w:t>60,6</w:t>
            </w:r>
          </w:p>
        </w:tc>
        <w:tc>
          <w:tcPr>
            <w:tcW w:w="0" w:type="auto"/>
            <w:tcBorders>
              <w:top w:val="nil"/>
              <w:left w:val="nil"/>
              <w:bottom w:val="single" w:sz="4" w:space="0" w:color="auto"/>
              <w:right w:val="single" w:sz="4" w:space="0" w:color="auto"/>
            </w:tcBorders>
            <w:shd w:val="clear" w:color="auto" w:fill="auto"/>
            <w:vAlign w:val="center"/>
            <w:hideMark/>
          </w:tcPr>
          <w:p w:rsidR="00352124" w:rsidRPr="00BD4B00" w:rsidRDefault="00352124" w:rsidP="00BD4B00">
            <w:pPr>
              <w:widowControl/>
              <w:autoSpaceDE/>
              <w:autoSpaceDN/>
              <w:adjustRightInd/>
              <w:spacing w:line="360" w:lineRule="auto"/>
              <w:jc w:val="center"/>
              <w:rPr>
                <w:rFonts w:asciiTheme="majorBidi" w:hAnsiTheme="majorBidi" w:cstheme="majorBidi"/>
                <w:b/>
                <w:bCs/>
                <w:color w:val="000000"/>
                <w:sz w:val="16"/>
                <w:szCs w:val="16"/>
              </w:rPr>
            </w:pPr>
            <w:r w:rsidRPr="00BD4B00">
              <w:rPr>
                <w:rFonts w:asciiTheme="majorBidi" w:hAnsiTheme="majorBidi" w:cstheme="majorBidi"/>
                <w:b/>
                <w:bCs/>
                <w:color w:val="000000"/>
                <w:sz w:val="16"/>
                <w:szCs w:val="16"/>
              </w:rPr>
              <w:t>65,6</w:t>
            </w:r>
          </w:p>
        </w:tc>
        <w:tc>
          <w:tcPr>
            <w:tcW w:w="0" w:type="auto"/>
            <w:tcBorders>
              <w:top w:val="nil"/>
              <w:left w:val="nil"/>
              <w:bottom w:val="single" w:sz="4" w:space="0" w:color="auto"/>
              <w:right w:val="single" w:sz="4" w:space="0" w:color="auto"/>
            </w:tcBorders>
            <w:shd w:val="clear" w:color="auto" w:fill="auto"/>
            <w:vAlign w:val="center"/>
            <w:hideMark/>
          </w:tcPr>
          <w:p w:rsidR="00352124" w:rsidRPr="00BD4B00" w:rsidRDefault="00352124" w:rsidP="00BD4B00">
            <w:pPr>
              <w:widowControl/>
              <w:autoSpaceDE/>
              <w:autoSpaceDN/>
              <w:adjustRightInd/>
              <w:spacing w:line="360" w:lineRule="auto"/>
              <w:jc w:val="center"/>
              <w:rPr>
                <w:rFonts w:asciiTheme="majorBidi" w:hAnsiTheme="majorBidi" w:cstheme="majorBidi"/>
                <w:b/>
                <w:bCs/>
                <w:color w:val="000000"/>
                <w:sz w:val="16"/>
                <w:szCs w:val="16"/>
              </w:rPr>
            </w:pPr>
            <w:r w:rsidRPr="00BD4B00">
              <w:rPr>
                <w:rFonts w:asciiTheme="majorBidi" w:hAnsiTheme="majorBidi" w:cstheme="majorBidi"/>
                <w:b/>
                <w:bCs/>
                <w:color w:val="000000"/>
                <w:sz w:val="16"/>
                <w:szCs w:val="16"/>
              </w:rPr>
              <w:t>75,7</w:t>
            </w:r>
          </w:p>
        </w:tc>
        <w:tc>
          <w:tcPr>
            <w:tcW w:w="0" w:type="auto"/>
            <w:tcBorders>
              <w:top w:val="nil"/>
              <w:left w:val="nil"/>
              <w:bottom w:val="single" w:sz="4" w:space="0" w:color="auto"/>
              <w:right w:val="single" w:sz="4" w:space="0" w:color="auto"/>
            </w:tcBorders>
            <w:shd w:val="clear" w:color="auto" w:fill="auto"/>
            <w:vAlign w:val="center"/>
            <w:hideMark/>
          </w:tcPr>
          <w:p w:rsidR="00352124" w:rsidRPr="00BD4B00" w:rsidRDefault="00352124" w:rsidP="00BD4B00">
            <w:pPr>
              <w:widowControl/>
              <w:autoSpaceDE/>
              <w:autoSpaceDN/>
              <w:adjustRightInd/>
              <w:spacing w:line="360" w:lineRule="auto"/>
              <w:jc w:val="center"/>
              <w:rPr>
                <w:rFonts w:asciiTheme="majorBidi" w:hAnsiTheme="majorBidi" w:cstheme="majorBidi"/>
                <w:b/>
                <w:bCs/>
                <w:color w:val="000000"/>
                <w:sz w:val="16"/>
                <w:szCs w:val="16"/>
              </w:rPr>
            </w:pPr>
            <w:r w:rsidRPr="00BD4B00">
              <w:rPr>
                <w:rFonts w:asciiTheme="majorBidi" w:hAnsiTheme="majorBidi" w:cstheme="majorBidi"/>
                <w:b/>
                <w:bCs/>
                <w:color w:val="000000"/>
                <w:sz w:val="16"/>
                <w:szCs w:val="16"/>
              </w:rPr>
              <w:t>77,8</w:t>
            </w:r>
          </w:p>
        </w:tc>
        <w:tc>
          <w:tcPr>
            <w:tcW w:w="0" w:type="auto"/>
            <w:tcBorders>
              <w:top w:val="nil"/>
              <w:left w:val="nil"/>
              <w:bottom w:val="single" w:sz="4" w:space="0" w:color="auto"/>
              <w:right w:val="single" w:sz="4" w:space="0" w:color="auto"/>
            </w:tcBorders>
            <w:shd w:val="clear" w:color="auto" w:fill="auto"/>
            <w:vAlign w:val="center"/>
            <w:hideMark/>
          </w:tcPr>
          <w:p w:rsidR="00352124" w:rsidRPr="00BD4B00" w:rsidRDefault="00352124" w:rsidP="00BD4B00">
            <w:pPr>
              <w:widowControl/>
              <w:autoSpaceDE/>
              <w:autoSpaceDN/>
              <w:adjustRightInd/>
              <w:spacing w:line="360" w:lineRule="auto"/>
              <w:jc w:val="center"/>
              <w:rPr>
                <w:rFonts w:asciiTheme="majorBidi" w:hAnsiTheme="majorBidi" w:cstheme="majorBidi"/>
                <w:b/>
                <w:bCs/>
                <w:color w:val="000000"/>
                <w:sz w:val="16"/>
                <w:szCs w:val="16"/>
              </w:rPr>
            </w:pPr>
            <w:r w:rsidRPr="00BD4B00">
              <w:rPr>
                <w:rFonts w:asciiTheme="majorBidi" w:hAnsiTheme="majorBidi" w:cstheme="majorBidi"/>
                <w:b/>
                <w:bCs/>
                <w:color w:val="000000"/>
                <w:sz w:val="16"/>
                <w:szCs w:val="16"/>
              </w:rPr>
              <w:t>74,8</w:t>
            </w:r>
          </w:p>
        </w:tc>
        <w:tc>
          <w:tcPr>
            <w:tcW w:w="0" w:type="auto"/>
            <w:tcBorders>
              <w:top w:val="nil"/>
              <w:left w:val="nil"/>
              <w:bottom w:val="single" w:sz="4" w:space="0" w:color="auto"/>
              <w:right w:val="single" w:sz="4" w:space="0" w:color="auto"/>
            </w:tcBorders>
            <w:shd w:val="clear" w:color="auto" w:fill="auto"/>
            <w:vAlign w:val="center"/>
            <w:hideMark/>
          </w:tcPr>
          <w:p w:rsidR="00352124" w:rsidRPr="00BD4B00" w:rsidRDefault="00352124" w:rsidP="00BD4B00">
            <w:pPr>
              <w:widowControl/>
              <w:autoSpaceDE/>
              <w:autoSpaceDN/>
              <w:adjustRightInd/>
              <w:spacing w:line="360" w:lineRule="auto"/>
              <w:jc w:val="center"/>
              <w:rPr>
                <w:rFonts w:asciiTheme="majorBidi" w:hAnsiTheme="majorBidi" w:cstheme="majorBidi"/>
                <w:b/>
                <w:bCs/>
                <w:color w:val="000000"/>
                <w:sz w:val="16"/>
                <w:szCs w:val="16"/>
              </w:rPr>
            </w:pPr>
            <w:r w:rsidRPr="00BD4B00">
              <w:rPr>
                <w:rFonts w:asciiTheme="majorBidi" w:hAnsiTheme="majorBidi" w:cstheme="majorBidi"/>
                <w:b/>
                <w:bCs/>
                <w:color w:val="000000"/>
                <w:sz w:val="16"/>
                <w:szCs w:val="16"/>
              </w:rPr>
              <w:t>74,9</w:t>
            </w:r>
          </w:p>
        </w:tc>
        <w:tc>
          <w:tcPr>
            <w:tcW w:w="0" w:type="auto"/>
            <w:tcBorders>
              <w:top w:val="nil"/>
              <w:left w:val="nil"/>
              <w:bottom w:val="single" w:sz="4" w:space="0" w:color="auto"/>
              <w:right w:val="single" w:sz="4" w:space="0" w:color="auto"/>
            </w:tcBorders>
            <w:shd w:val="clear" w:color="auto" w:fill="auto"/>
            <w:vAlign w:val="center"/>
            <w:hideMark/>
          </w:tcPr>
          <w:p w:rsidR="00352124" w:rsidRPr="00BD4B00" w:rsidRDefault="00352124" w:rsidP="00BD4B00">
            <w:pPr>
              <w:widowControl/>
              <w:autoSpaceDE/>
              <w:autoSpaceDN/>
              <w:adjustRightInd/>
              <w:spacing w:line="360" w:lineRule="auto"/>
              <w:jc w:val="center"/>
              <w:rPr>
                <w:rFonts w:asciiTheme="majorBidi" w:hAnsiTheme="majorBidi" w:cstheme="majorBidi"/>
                <w:b/>
                <w:bCs/>
                <w:color w:val="000000"/>
                <w:sz w:val="16"/>
                <w:szCs w:val="16"/>
              </w:rPr>
            </w:pPr>
            <w:r w:rsidRPr="00BD4B00">
              <w:rPr>
                <w:rFonts w:asciiTheme="majorBidi" w:hAnsiTheme="majorBidi" w:cstheme="majorBidi"/>
                <w:b/>
                <w:bCs/>
                <w:color w:val="000000"/>
                <w:sz w:val="16"/>
                <w:szCs w:val="16"/>
              </w:rPr>
              <w:t>79,1</w:t>
            </w:r>
          </w:p>
        </w:tc>
        <w:tc>
          <w:tcPr>
            <w:tcW w:w="0" w:type="auto"/>
            <w:tcBorders>
              <w:top w:val="nil"/>
              <w:left w:val="nil"/>
              <w:bottom w:val="single" w:sz="4" w:space="0" w:color="auto"/>
              <w:right w:val="single" w:sz="4" w:space="0" w:color="auto"/>
            </w:tcBorders>
            <w:shd w:val="clear" w:color="auto" w:fill="auto"/>
            <w:vAlign w:val="center"/>
            <w:hideMark/>
          </w:tcPr>
          <w:p w:rsidR="00352124" w:rsidRPr="00BD4B00" w:rsidRDefault="00352124" w:rsidP="00BD4B00">
            <w:pPr>
              <w:widowControl/>
              <w:autoSpaceDE/>
              <w:autoSpaceDN/>
              <w:adjustRightInd/>
              <w:spacing w:line="360" w:lineRule="auto"/>
              <w:jc w:val="center"/>
              <w:rPr>
                <w:rFonts w:asciiTheme="majorBidi" w:hAnsiTheme="majorBidi" w:cstheme="majorBidi"/>
                <w:b/>
                <w:bCs/>
                <w:color w:val="000000"/>
                <w:sz w:val="16"/>
                <w:szCs w:val="16"/>
              </w:rPr>
            </w:pPr>
            <w:r w:rsidRPr="00BD4B00">
              <w:rPr>
                <w:rFonts w:asciiTheme="majorBidi" w:hAnsiTheme="majorBidi" w:cstheme="majorBidi"/>
                <w:b/>
                <w:bCs/>
                <w:color w:val="000000"/>
                <w:sz w:val="16"/>
                <w:szCs w:val="16"/>
              </w:rPr>
              <w:t>79,8</w:t>
            </w:r>
          </w:p>
        </w:tc>
        <w:tc>
          <w:tcPr>
            <w:tcW w:w="0" w:type="auto"/>
            <w:tcBorders>
              <w:top w:val="nil"/>
              <w:left w:val="nil"/>
              <w:bottom w:val="single" w:sz="4" w:space="0" w:color="auto"/>
              <w:right w:val="single" w:sz="4" w:space="0" w:color="auto"/>
            </w:tcBorders>
            <w:shd w:val="clear" w:color="auto" w:fill="auto"/>
            <w:vAlign w:val="center"/>
            <w:hideMark/>
          </w:tcPr>
          <w:p w:rsidR="00352124" w:rsidRPr="00BD4B00" w:rsidRDefault="00352124" w:rsidP="00BD4B00">
            <w:pPr>
              <w:widowControl/>
              <w:autoSpaceDE/>
              <w:autoSpaceDN/>
              <w:adjustRightInd/>
              <w:spacing w:line="360" w:lineRule="auto"/>
              <w:jc w:val="center"/>
              <w:rPr>
                <w:rFonts w:asciiTheme="majorBidi" w:hAnsiTheme="majorBidi" w:cstheme="majorBidi"/>
                <w:b/>
                <w:bCs/>
                <w:color w:val="000000"/>
                <w:sz w:val="16"/>
                <w:szCs w:val="16"/>
              </w:rPr>
            </w:pPr>
            <w:r w:rsidRPr="00BD4B00">
              <w:rPr>
                <w:rFonts w:asciiTheme="majorBidi" w:hAnsiTheme="majorBidi" w:cstheme="majorBidi"/>
                <w:b/>
                <w:bCs/>
                <w:color w:val="000000"/>
                <w:sz w:val="16"/>
                <w:szCs w:val="16"/>
              </w:rPr>
              <w:t>82,5</w:t>
            </w:r>
          </w:p>
        </w:tc>
        <w:tc>
          <w:tcPr>
            <w:tcW w:w="0" w:type="auto"/>
            <w:tcBorders>
              <w:top w:val="nil"/>
              <w:left w:val="nil"/>
              <w:bottom w:val="single" w:sz="4" w:space="0" w:color="auto"/>
              <w:right w:val="single" w:sz="4" w:space="0" w:color="auto"/>
            </w:tcBorders>
            <w:shd w:val="clear" w:color="auto" w:fill="auto"/>
            <w:vAlign w:val="center"/>
            <w:hideMark/>
          </w:tcPr>
          <w:p w:rsidR="00352124" w:rsidRPr="00BD4B00" w:rsidRDefault="00352124" w:rsidP="00BD4B00">
            <w:pPr>
              <w:widowControl/>
              <w:autoSpaceDE/>
              <w:autoSpaceDN/>
              <w:adjustRightInd/>
              <w:spacing w:line="360" w:lineRule="auto"/>
              <w:jc w:val="center"/>
              <w:rPr>
                <w:rFonts w:asciiTheme="majorBidi" w:hAnsiTheme="majorBidi" w:cstheme="majorBidi"/>
                <w:b/>
                <w:bCs/>
                <w:color w:val="000000"/>
                <w:sz w:val="16"/>
                <w:szCs w:val="16"/>
              </w:rPr>
            </w:pPr>
            <w:r w:rsidRPr="00BD4B00">
              <w:rPr>
                <w:rFonts w:asciiTheme="majorBidi" w:hAnsiTheme="majorBidi" w:cstheme="majorBidi"/>
                <w:b/>
                <w:bCs/>
                <w:color w:val="000000"/>
                <w:sz w:val="16"/>
                <w:szCs w:val="16"/>
              </w:rPr>
              <w:t>87,3</w:t>
            </w:r>
          </w:p>
        </w:tc>
        <w:tc>
          <w:tcPr>
            <w:tcW w:w="0" w:type="auto"/>
            <w:tcBorders>
              <w:top w:val="nil"/>
              <w:left w:val="nil"/>
              <w:bottom w:val="single" w:sz="4" w:space="0" w:color="auto"/>
              <w:right w:val="single" w:sz="4" w:space="0" w:color="auto"/>
            </w:tcBorders>
            <w:shd w:val="clear" w:color="auto" w:fill="auto"/>
            <w:vAlign w:val="center"/>
            <w:hideMark/>
          </w:tcPr>
          <w:p w:rsidR="00352124" w:rsidRPr="00BD4B00" w:rsidRDefault="00352124" w:rsidP="00BD4B00">
            <w:pPr>
              <w:widowControl/>
              <w:autoSpaceDE/>
              <w:autoSpaceDN/>
              <w:adjustRightInd/>
              <w:spacing w:line="360" w:lineRule="auto"/>
              <w:jc w:val="center"/>
              <w:rPr>
                <w:rFonts w:asciiTheme="majorBidi" w:hAnsiTheme="majorBidi" w:cstheme="majorBidi"/>
                <w:b/>
                <w:bCs/>
                <w:color w:val="000000"/>
                <w:sz w:val="16"/>
                <w:szCs w:val="16"/>
              </w:rPr>
            </w:pPr>
            <w:r w:rsidRPr="00BD4B00">
              <w:rPr>
                <w:rFonts w:asciiTheme="majorBidi" w:hAnsiTheme="majorBidi" w:cstheme="majorBidi"/>
                <w:b/>
                <w:bCs/>
                <w:color w:val="000000"/>
                <w:sz w:val="16"/>
                <w:szCs w:val="16"/>
              </w:rPr>
              <w:t>87,3</w:t>
            </w:r>
          </w:p>
        </w:tc>
        <w:tc>
          <w:tcPr>
            <w:tcW w:w="0" w:type="auto"/>
            <w:tcBorders>
              <w:top w:val="nil"/>
              <w:left w:val="nil"/>
              <w:bottom w:val="single" w:sz="4" w:space="0" w:color="auto"/>
              <w:right w:val="single" w:sz="4" w:space="0" w:color="auto"/>
            </w:tcBorders>
            <w:shd w:val="clear" w:color="auto" w:fill="auto"/>
            <w:vAlign w:val="center"/>
            <w:hideMark/>
          </w:tcPr>
          <w:p w:rsidR="00352124" w:rsidRPr="00BD4B00" w:rsidRDefault="00352124" w:rsidP="00BD4B00">
            <w:pPr>
              <w:widowControl/>
              <w:autoSpaceDE/>
              <w:autoSpaceDN/>
              <w:adjustRightInd/>
              <w:spacing w:line="360" w:lineRule="auto"/>
              <w:jc w:val="center"/>
              <w:rPr>
                <w:rFonts w:asciiTheme="majorBidi" w:hAnsiTheme="majorBidi" w:cstheme="majorBidi"/>
                <w:b/>
                <w:bCs/>
                <w:color w:val="000000"/>
                <w:sz w:val="16"/>
                <w:szCs w:val="16"/>
              </w:rPr>
            </w:pPr>
            <w:r w:rsidRPr="00BD4B00">
              <w:rPr>
                <w:rFonts w:asciiTheme="majorBidi" w:hAnsiTheme="majorBidi" w:cstheme="majorBidi"/>
                <w:b/>
                <w:bCs/>
                <w:color w:val="000000"/>
                <w:sz w:val="16"/>
                <w:szCs w:val="16"/>
              </w:rPr>
              <w:t>85,9</w:t>
            </w:r>
          </w:p>
        </w:tc>
        <w:tc>
          <w:tcPr>
            <w:tcW w:w="0" w:type="auto"/>
            <w:tcBorders>
              <w:top w:val="nil"/>
              <w:left w:val="nil"/>
              <w:bottom w:val="single" w:sz="4" w:space="0" w:color="auto"/>
              <w:right w:val="single" w:sz="4" w:space="0" w:color="auto"/>
            </w:tcBorders>
            <w:shd w:val="clear" w:color="auto" w:fill="auto"/>
            <w:vAlign w:val="center"/>
            <w:hideMark/>
          </w:tcPr>
          <w:p w:rsidR="00352124" w:rsidRPr="00BD4B00" w:rsidRDefault="00352124" w:rsidP="00BD4B00">
            <w:pPr>
              <w:widowControl/>
              <w:autoSpaceDE/>
              <w:autoSpaceDN/>
              <w:adjustRightInd/>
              <w:spacing w:line="360" w:lineRule="auto"/>
              <w:jc w:val="center"/>
              <w:rPr>
                <w:rFonts w:asciiTheme="majorBidi" w:hAnsiTheme="majorBidi" w:cstheme="majorBidi"/>
                <w:b/>
                <w:bCs/>
                <w:color w:val="000000"/>
                <w:sz w:val="16"/>
                <w:szCs w:val="16"/>
              </w:rPr>
            </w:pPr>
            <w:r w:rsidRPr="00BD4B00">
              <w:rPr>
                <w:rFonts w:asciiTheme="majorBidi" w:hAnsiTheme="majorBidi" w:cstheme="majorBidi"/>
                <w:b/>
                <w:bCs/>
                <w:color w:val="000000"/>
                <w:sz w:val="16"/>
                <w:szCs w:val="16"/>
              </w:rPr>
              <w:t>85,5</w:t>
            </w:r>
          </w:p>
        </w:tc>
        <w:tc>
          <w:tcPr>
            <w:tcW w:w="0" w:type="auto"/>
            <w:tcBorders>
              <w:top w:val="nil"/>
              <w:left w:val="nil"/>
              <w:bottom w:val="single" w:sz="4" w:space="0" w:color="auto"/>
              <w:right w:val="single" w:sz="4" w:space="0" w:color="auto"/>
            </w:tcBorders>
            <w:shd w:val="clear" w:color="auto" w:fill="auto"/>
            <w:vAlign w:val="center"/>
            <w:hideMark/>
          </w:tcPr>
          <w:p w:rsidR="00352124" w:rsidRPr="00BD4B00" w:rsidRDefault="00352124" w:rsidP="00BD4B00">
            <w:pPr>
              <w:widowControl/>
              <w:autoSpaceDE/>
              <w:autoSpaceDN/>
              <w:adjustRightInd/>
              <w:spacing w:line="360" w:lineRule="auto"/>
              <w:jc w:val="center"/>
              <w:rPr>
                <w:rFonts w:asciiTheme="majorBidi" w:hAnsiTheme="majorBidi" w:cstheme="majorBidi"/>
                <w:b/>
                <w:bCs/>
                <w:color w:val="000000"/>
                <w:sz w:val="16"/>
                <w:szCs w:val="16"/>
              </w:rPr>
            </w:pPr>
            <w:r w:rsidRPr="00BD4B00">
              <w:rPr>
                <w:rFonts w:asciiTheme="majorBidi" w:hAnsiTheme="majorBidi" w:cstheme="majorBidi"/>
                <w:b/>
                <w:bCs/>
                <w:color w:val="000000"/>
                <w:sz w:val="16"/>
                <w:szCs w:val="16"/>
              </w:rPr>
              <w:t>85,8</w:t>
            </w:r>
          </w:p>
        </w:tc>
        <w:tc>
          <w:tcPr>
            <w:tcW w:w="0" w:type="auto"/>
            <w:tcBorders>
              <w:top w:val="nil"/>
              <w:left w:val="nil"/>
              <w:bottom w:val="single" w:sz="4" w:space="0" w:color="auto"/>
              <w:right w:val="single" w:sz="4" w:space="0" w:color="auto"/>
            </w:tcBorders>
            <w:shd w:val="clear" w:color="auto" w:fill="auto"/>
            <w:vAlign w:val="center"/>
            <w:hideMark/>
          </w:tcPr>
          <w:p w:rsidR="00352124" w:rsidRPr="00BD4B00" w:rsidRDefault="00352124" w:rsidP="00BD4B00">
            <w:pPr>
              <w:widowControl/>
              <w:autoSpaceDE/>
              <w:autoSpaceDN/>
              <w:adjustRightInd/>
              <w:spacing w:line="360" w:lineRule="auto"/>
              <w:jc w:val="center"/>
              <w:rPr>
                <w:rFonts w:asciiTheme="majorBidi" w:hAnsiTheme="majorBidi" w:cstheme="majorBidi"/>
                <w:b/>
                <w:bCs/>
                <w:color w:val="000000"/>
                <w:sz w:val="16"/>
                <w:szCs w:val="16"/>
              </w:rPr>
            </w:pPr>
            <w:r w:rsidRPr="00BD4B00">
              <w:rPr>
                <w:rFonts w:asciiTheme="majorBidi" w:hAnsiTheme="majorBidi" w:cstheme="majorBidi"/>
                <w:b/>
                <w:bCs/>
                <w:color w:val="000000"/>
                <w:sz w:val="16"/>
                <w:szCs w:val="16"/>
              </w:rPr>
              <w:t>78,2</w:t>
            </w:r>
          </w:p>
        </w:tc>
        <w:tc>
          <w:tcPr>
            <w:tcW w:w="0" w:type="auto"/>
            <w:tcBorders>
              <w:top w:val="nil"/>
              <w:left w:val="nil"/>
              <w:bottom w:val="single" w:sz="4" w:space="0" w:color="auto"/>
              <w:right w:val="single" w:sz="4" w:space="0" w:color="auto"/>
            </w:tcBorders>
            <w:shd w:val="clear" w:color="auto" w:fill="auto"/>
            <w:vAlign w:val="center"/>
            <w:hideMark/>
          </w:tcPr>
          <w:p w:rsidR="00352124" w:rsidRPr="00BD4B00" w:rsidRDefault="00352124" w:rsidP="00BD4B00">
            <w:pPr>
              <w:widowControl/>
              <w:autoSpaceDE/>
              <w:autoSpaceDN/>
              <w:adjustRightInd/>
              <w:spacing w:line="360" w:lineRule="auto"/>
              <w:jc w:val="center"/>
              <w:rPr>
                <w:rFonts w:asciiTheme="majorBidi" w:hAnsiTheme="majorBidi" w:cstheme="majorBidi"/>
                <w:b/>
                <w:bCs/>
                <w:color w:val="000000"/>
                <w:sz w:val="16"/>
                <w:szCs w:val="16"/>
              </w:rPr>
            </w:pPr>
            <w:r w:rsidRPr="00BD4B00">
              <w:rPr>
                <w:rFonts w:asciiTheme="majorBidi" w:hAnsiTheme="majorBidi" w:cstheme="majorBidi"/>
                <w:b/>
                <w:bCs/>
                <w:color w:val="000000"/>
                <w:sz w:val="16"/>
                <w:szCs w:val="16"/>
              </w:rPr>
              <w:t>73,5</w:t>
            </w:r>
          </w:p>
        </w:tc>
        <w:tc>
          <w:tcPr>
            <w:tcW w:w="0" w:type="auto"/>
            <w:tcBorders>
              <w:top w:val="nil"/>
              <w:left w:val="nil"/>
              <w:bottom w:val="single" w:sz="4" w:space="0" w:color="auto"/>
              <w:right w:val="single" w:sz="4" w:space="0" w:color="auto"/>
            </w:tcBorders>
            <w:shd w:val="clear" w:color="auto" w:fill="auto"/>
            <w:vAlign w:val="center"/>
            <w:hideMark/>
          </w:tcPr>
          <w:p w:rsidR="00352124" w:rsidRPr="00BD4B00" w:rsidRDefault="00352124" w:rsidP="00BD4B00">
            <w:pPr>
              <w:widowControl/>
              <w:autoSpaceDE/>
              <w:autoSpaceDN/>
              <w:adjustRightInd/>
              <w:spacing w:line="360" w:lineRule="auto"/>
              <w:jc w:val="center"/>
              <w:rPr>
                <w:rFonts w:asciiTheme="majorBidi" w:hAnsiTheme="majorBidi" w:cstheme="majorBidi"/>
                <w:b/>
                <w:bCs/>
                <w:color w:val="000000"/>
                <w:sz w:val="16"/>
                <w:szCs w:val="16"/>
              </w:rPr>
            </w:pPr>
            <w:r w:rsidRPr="00BD4B00">
              <w:rPr>
                <w:rFonts w:asciiTheme="majorBidi" w:hAnsiTheme="majorBidi" w:cstheme="majorBidi"/>
                <w:b/>
                <w:bCs/>
                <w:color w:val="000000"/>
                <w:sz w:val="16"/>
                <w:szCs w:val="16"/>
              </w:rPr>
              <w:t>73,8</w:t>
            </w:r>
          </w:p>
        </w:tc>
        <w:tc>
          <w:tcPr>
            <w:tcW w:w="0" w:type="auto"/>
            <w:tcBorders>
              <w:top w:val="nil"/>
              <w:left w:val="nil"/>
              <w:bottom w:val="single" w:sz="4" w:space="0" w:color="auto"/>
              <w:right w:val="single" w:sz="4" w:space="0" w:color="auto"/>
            </w:tcBorders>
            <w:shd w:val="clear" w:color="auto" w:fill="auto"/>
            <w:vAlign w:val="center"/>
            <w:hideMark/>
          </w:tcPr>
          <w:p w:rsidR="00352124" w:rsidRPr="00BD4B00" w:rsidRDefault="00352124" w:rsidP="00BD4B00">
            <w:pPr>
              <w:widowControl/>
              <w:autoSpaceDE/>
              <w:autoSpaceDN/>
              <w:adjustRightInd/>
              <w:spacing w:line="360" w:lineRule="auto"/>
              <w:jc w:val="center"/>
              <w:rPr>
                <w:rFonts w:asciiTheme="majorBidi" w:hAnsiTheme="majorBidi" w:cstheme="majorBidi"/>
                <w:b/>
                <w:bCs/>
                <w:color w:val="000000"/>
                <w:sz w:val="16"/>
                <w:szCs w:val="16"/>
              </w:rPr>
            </w:pPr>
            <w:r w:rsidRPr="00BD4B00">
              <w:rPr>
                <w:rFonts w:asciiTheme="majorBidi" w:hAnsiTheme="majorBidi" w:cstheme="majorBidi"/>
                <w:b/>
                <w:bCs/>
                <w:color w:val="000000"/>
                <w:sz w:val="16"/>
                <w:szCs w:val="16"/>
              </w:rPr>
              <w:t>75,7</w:t>
            </w:r>
          </w:p>
        </w:tc>
        <w:tc>
          <w:tcPr>
            <w:tcW w:w="0" w:type="auto"/>
            <w:tcBorders>
              <w:top w:val="nil"/>
              <w:left w:val="nil"/>
              <w:bottom w:val="single" w:sz="4" w:space="0" w:color="auto"/>
              <w:right w:val="single" w:sz="4" w:space="0" w:color="auto"/>
            </w:tcBorders>
            <w:shd w:val="clear" w:color="auto" w:fill="auto"/>
            <w:vAlign w:val="center"/>
            <w:hideMark/>
          </w:tcPr>
          <w:p w:rsidR="00352124" w:rsidRPr="00BD4B00" w:rsidRDefault="00352124" w:rsidP="00BD4B00">
            <w:pPr>
              <w:widowControl/>
              <w:autoSpaceDE/>
              <w:autoSpaceDN/>
              <w:adjustRightInd/>
              <w:spacing w:line="360" w:lineRule="auto"/>
              <w:jc w:val="center"/>
              <w:rPr>
                <w:rFonts w:asciiTheme="majorBidi" w:hAnsiTheme="majorBidi" w:cstheme="majorBidi"/>
                <w:b/>
                <w:bCs/>
                <w:color w:val="000000"/>
                <w:sz w:val="16"/>
                <w:szCs w:val="16"/>
              </w:rPr>
            </w:pPr>
            <w:r w:rsidRPr="00BD4B00">
              <w:rPr>
                <w:rFonts w:asciiTheme="majorBidi" w:hAnsiTheme="majorBidi" w:cstheme="majorBidi"/>
                <w:b/>
                <w:bCs/>
                <w:color w:val="000000"/>
                <w:sz w:val="16"/>
                <w:szCs w:val="16"/>
              </w:rPr>
              <w:t>71,6</w:t>
            </w:r>
          </w:p>
        </w:tc>
        <w:tc>
          <w:tcPr>
            <w:tcW w:w="0" w:type="auto"/>
            <w:tcBorders>
              <w:top w:val="nil"/>
              <w:left w:val="nil"/>
              <w:bottom w:val="single" w:sz="4" w:space="0" w:color="auto"/>
              <w:right w:val="single" w:sz="4" w:space="0" w:color="auto"/>
            </w:tcBorders>
            <w:shd w:val="clear" w:color="auto" w:fill="auto"/>
            <w:vAlign w:val="center"/>
            <w:hideMark/>
          </w:tcPr>
          <w:p w:rsidR="00352124" w:rsidRPr="00BD4B00" w:rsidRDefault="00352124" w:rsidP="00BD4B00">
            <w:pPr>
              <w:widowControl/>
              <w:autoSpaceDE/>
              <w:autoSpaceDN/>
              <w:bidi/>
              <w:adjustRightInd/>
              <w:spacing w:line="360" w:lineRule="auto"/>
              <w:rPr>
                <w:rFonts w:asciiTheme="majorBidi" w:hAnsiTheme="majorBidi" w:cstheme="majorBidi"/>
                <w:b/>
                <w:bCs/>
                <w:color w:val="000000"/>
                <w:sz w:val="16"/>
                <w:szCs w:val="16"/>
              </w:rPr>
            </w:pPr>
            <w:r w:rsidRPr="00BD4B00">
              <w:rPr>
                <w:rFonts w:asciiTheme="majorBidi" w:hAnsiTheme="majorBidi" w:cstheme="majorBidi"/>
                <w:b/>
                <w:bCs/>
                <w:color w:val="000000"/>
                <w:sz w:val="16"/>
                <w:szCs w:val="16"/>
                <w:rtl/>
              </w:rPr>
              <w:t>مؤشر ثقة الأسر المغربية</w:t>
            </w:r>
          </w:p>
        </w:tc>
      </w:tr>
      <w:tr w:rsidR="00696211" w:rsidRPr="00BD4B00" w:rsidTr="00BD4B00">
        <w:trPr>
          <w:trHeight w:val="591"/>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352124" w:rsidRPr="00BD4B00" w:rsidRDefault="00352124" w:rsidP="00BD4B00">
            <w:pPr>
              <w:widowControl/>
              <w:autoSpaceDE/>
              <w:autoSpaceDN/>
              <w:adjustRightInd/>
              <w:spacing w:line="360" w:lineRule="auto"/>
              <w:jc w:val="center"/>
              <w:rPr>
                <w:rFonts w:asciiTheme="majorBidi" w:hAnsiTheme="majorBidi" w:cstheme="majorBidi"/>
                <w:color w:val="000000"/>
                <w:sz w:val="16"/>
                <w:szCs w:val="16"/>
              </w:rPr>
            </w:pPr>
            <w:r w:rsidRPr="00BD4B00">
              <w:rPr>
                <w:rFonts w:asciiTheme="majorBidi" w:hAnsiTheme="majorBidi" w:cstheme="majorBidi"/>
                <w:color w:val="000000"/>
                <w:sz w:val="16"/>
                <w:szCs w:val="16"/>
              </w:rPr>
              <w:t>-79,6</w:t>
            </w:r>
          </w:p>
        </w:tc>
        <w:tc>
          <w:tcPr>
            <w:tcW w:w="590" w:type="dxa"/>
            <w:tcBorders>
              <w:top w:val="nil"/>
              <w:left w:val="nil"/>
              <w:bottom w:val="single" w:sz="4" w:space="0" w:color="auto"/>
              <w:right w:val="single" w:sz="4" w:space="0" w:color="auto"/>
            </w:tcBorders>
            <w:shd w:val="clear" w:color="auto" w:fill="auto"/>
            <w:vAlign w:val="center"/>
            <w:hideMark/>
          </w:tcPr>
          <w:p w:rsidR="00352124" w:rsidRPr="00BD4B00" w:rsidRDefault="00352124" w:rsidP="00BD4B00">
            <w:pPr>
              <w:widowControl/>
              <w:autoSpaceDE/>
              <w:autoSpaceDN/>
              <w:adjustRightInd/>
              <w:spacing w:line="360" w:lineRule="auto"/>
              <w:jc w:val="center"/>
              <w:rPr>
                <w:rFonts w:asciiTheme="majorBidi" w:hAnsiTheme="majorBidi" w:cstheme="majorBidi"/>
                <w:color w:val="000000"/>
                <w:sz w:val="16"/>
                <w:szCs w:val="16"/>
              </w:rPr>
            </w:pPr>
            <w:r w:rsidRPr="00BD4B00">
              <w:rPr>
                <w:rFonts w:asciiTheme="majorBidi" w:hAnsiTheme="majorBidi" w:cstheme="majorBidi"/>
                <w:color w:val="000000"/>
                <w:sz w:val="16"/>
                <w:szCs w:val="16"/>
              </w:rPr>
              <w:t>-83,5</w:t>
            </w:r>
          </w:p>
        </w:tc>
        <w:tc>
          <w:tcPr>
            <w:tcW w:w="0" w:type="auto"/>
            <w:tcBorders>
              <w:top w:val="nil"/>
              <w:left w:val="nil"/>
              <w:bottom w:val="single" w:sz="4" w:space="0" w:color="auto"/>
              <w:right w:val="single" w:sz="4" w:space="0" w:color="auto"/>
            </w:tcBorders>
            <w:shd w:val="clear" w:color="auto" w:fill="auto"/>
            <w:vAlign w:val="center"/>
            <w:hideMark/>
          </w:tcPr>
          <w:p w:rsidR="00352124" w:rsidRPr="00BD4B00" w:rsidRDefault="00352124" w:rsidP="00BD4B00">
            <w:pPr>
              <w:widowControl/>
              <w:autoSpaceDE/>
              <w:autoSpaceDN/>
              <w:adjustRightInd/>
              <w:spacing w:line="360" w:lineRule="auto"/>
              <w:jc w:val="center"/>
              <w:rPr>
                <w:rFonts w:asciiTheme="majorBidi" w:hAnsiTheme="majorBidi" w:cstheme="majorBidi"/>
                <w:color w:val="000000"/>
                <w:sz w:val="16"/>
                <w:szCs w:val="16"/>
              </w:rPr>
            </w:pPr>
            <w:r w:rsidRPr="00BD4B00">
              <w:rPr>
                <w:rFonts w:asciiTheme="majorBidi" w:hAnsiTheme="majorBidi" w:cstheme="majorBidi"/>
                <w:color w:val="000000"/>
                <w:sz w:val="16"/>
                <w:szCs w:val="16"/>
              </w:rPr>
              <w:t>-81,1</w:t>
            </w:r>
          </w:p>
        </w:tc>
        <w:tc>
          <w:tcPr>
            <w:tcW w:w="0" w:type="auto"/>
            <w:tcBorders>
              <w:top w:val="nil"/>
              <w:left w:val="nil"/>
              <w:bottom w:val="single" w:sz="4" w:space="0" w:color="auto"/>
              <w:right w:val="single" w:sz="4" w:space="0" w:color="auto"/>
            </w:tcBorders>
            <w:shd w:val="clear" w:color="auto" w:fill="auto"/>
            <w:vAlign w:val="center"/>
            <w:hideMark/>
          </w:tcPr>
          <w:p w:rsidR="00352124" w:rsidRPr="00BD4B00" w:rsidRDefault="00352124" w:rsidP="00BD4B00">
            <w:pPr>
              <w:widowControl/>
              <w:autoSpaceDE/>
              <w:autoSpaceDN/>
              <w:adjustRightInd/>
              <w:spacing w:line="360" w:lineRule="auto"/>
              <w:jc w:val="center"/>
              <w:rPr>
                <w:rFonts w:asciiTheme="majorBidi" w:hAnsiTheme="majorBidi" w:cstheme="majorBidi"/>
                <w:color w:val="000000"/>
                <w:sz w:val="16"/>
                <w:szCs w:val="16"/>
              </w:rPr>
            </w:pPr>
            <w:r w:rsidRPr="00BD4B00">
              <w:rPr>
                <w:rFonts w:asciiTheme="majorBidi" w:hAnsiTheme="majorBidi" w:cstheme="majorBidi"/>
                <w:color w:val="000000"/>
                <w:sz w:val="16"/>
                <w:szCs w:val="16"/>
              </w:rPr>
              <w:t>-82,8</w:t>
            </w:r>
          </w:p>
        </w:tc>
        <w:tc>
          <w:tcPr>
            <w:tcW w:w="0" w:type="auto"/>
            <w:tcBorders>
              <w:top w:val="nil"/>
              <w:left w:val="nil"/>
              <w:bottom w:val="single" w:sz="4" w:space="0" w:color="auto"/>
              <w:right w:val="single" w:sz="4" w:space="0" w:color="auto"/>
            </w:tcBorders>
            <w:shd w:val="clear" w:color="auto" w:fill="auto"/>
            <w:vAlign w:val="center"/>
            <w:hideMark/>
          </w:tcPr>
          <w:p w:rsidR="00352124" w:rsidRPr="00BD4B00" w:rsidRDefault="00352124" w:rsidP="00BD4B00">
            <w:pPr>
              <w:widowControl/>
              <w:autoSpaceDE/>
              <w:autoSpaceDN/>
              <w:adjustRightInd/>
              <w:spacing w:line="360" w:lineRule="auto"/>
              <w:jc w:val="center"/>
              <w:rPr>
                <w:rFonts w:asciiTheme="majorBidi" w:hAnsiTheme="majorBidi" w:cstheme="majorBidi"/>
                <w:color w:val="000000"/>
                <w:sz w:val="16"/>
                <w:szCs w:val="16"/>
              </w:rPr>
            </w:pPr>
            <w:r w:rsidRPr="00BD4B00">
              <w:rPr>
                <w:rFonts w:asciiTheme="majorBidi" w:hAnsiTheme="majorBidi" w:cstheme="majorBidi"/>
                <w:color w:val="000000"/>
                <w:sz w:val="16"/>
                <w:szCs w:val="16"/>
              </w:rPr>
              <w:t>-77,6</w:t>
            </w:r>
          </w:p>
        </w:tc>
        <w:tc>
          <w:tcPr>
            <w:tcW w:w="0" w:type="auto"/>
            <w:tcBorders>
              <w:top w:val="nil"/>
              <w:left w:val="nil"/>
              <w:bottom w:val="single" w:sz="4" w:space="0" w:color="auto"/>
              <w:right w:val="single" w:sz="4" w:space="0" w:color="auto"/>
            </w:tcBorders>
            <w:shd w:val="clear" w:color="auto" w:fill="auto"/>
            <w:vAlign w:val="center"/>
            <w:hideMark/>
          </w:tcPr>
          <w:p w:rsidR="00352124" w:rsidRPr="00BD4B00" w:rsidRDefault="00352124" w:rsidP="00BD4B00">
            <w:pPr>
              <w:widowControl/>
              <w:autoSpaceDE/>
              <w:autoSpaceDN/>
              <w:adjustRightInd/>
              <w:spacing w:line="360" w:lineRule="auto"/>
              <w:jc w:val="center"/>
              <w:rPr>
                <w:rFonts w:asciiTheme="majorBidi" w:hAnsiTheme="majorBidi" w:cstheme="majorBidi"/>
                <w:color w:val="000000"/>
                <w:sz w:val="16"/>
                <w:szCs w:val="16"/>
              </w:rPr>
            </w:pPr>
            <w:r w:rsidRPr="00BD4B00">
              <w:rPr>
                <w:rFonts w:asciiTheme="majorBidi" w:hAnsiTheme="majorBidi" w:cstheme="majorBidi"/>
                <w:color w:val="000000"/>
                <w:sz w:val="16"/>
                <w:szCs w:val="16"/>
              </w:rPr>
              <w:t>-78,3</w:t>
            </w:r>
          </w:p>
        </w:tc>
        <w:tc>
          <w:tcPr>
            <w:tcW w:w="0" w:type="auto"/>
            <w:tcBorders>
              <w:top w:val="nil"/>
              <w:left w:val="nil"/>
              <w:bottom w:val="single" w:sz="4" w:space="0" w:color="auto"/>
              <w:right w:val="single" w:sz="4" w:space="0" w:color="auto"/>
            </w:tcBorders>
            <w:shd w:val="clear" w:color="auto" w:fill="auto"/>
            <w:vAlign w:val="center"/>
            <w:hideMark/>
          </w:tcPr>
          <w:p w:rsidR="00352124" w:rsidRPr="00BD4B00" w:rsidRDefault="00352124" w:rsidP="00BD4B00">
            <w:pPr>
              <w:widowControl/>
              <w:autoSpaceDE/>
              <w:autoSpaceDN/>
              <w:adjustRightInd/>
              <w:spacing w:line="360" w:lineRule="auto"/>
              <w:jc w:val="center"/>
              <w:rPr>
                <w:rFonts w:asciiTheme="majorBidi" w:hAnsiTheme="majorBidi" w:cstheme="majorBidi"/>
                <w:color w:val="000000"/>
                <w:sz w:val="16"/>
                <w:szCs w:val="16"/>
              </w:rPr>
            </w:pPr>
            <w:r w:rsidRPr="00BD4B00">
              <w:rPr>
                <w:rFonts w:asciiTheme="majorBidi" w:hAnsiTheme="majorBidi" w:cstheme="majorBidi"/>
                <w:color w:val="000000"/>
                <w:sz w:val="16"/>
                <w:szCs w:val="16"/>
              </w:rPr>
              <w:t>-69,8</w:t>
            </w:r>
          </w:p>
        </w:tc>
        <w:tc>
          <w:tcPr>
            <w:tcW w:w="0" w:type="auto"/>
            <w:tcBorders>
              <w:top w:val="nil"/>
              <w:left w:val="nil"/>
              <w:bottom w:val="single" w:sz="4" w:space="0" w:color="auto"/>
              <w:right w:val="single" w:sz="4" w:space="0" w:color="auto"/>
            </w:tcBorders>
            <w:shd w:val="clear" w:color="auto" w:fill="auto"/>
            <w:vAlign w:val="center"/>
            <w:hideMark/>
          </w:tcPr>
          <w:p w:rsidR="00352124" w:rsidRPr="00BD4B00" w:rsidRDefault="00352124" w:rsidP="00BD4B00">
            <w:pPr>
              <w:widowControl/>
              <w:autoSpaceDE/>
              <w:autoSpaceDN/>
              <w:adjustRightInd/>
              <w:spacing w:line="360" w:lineRule="auto"/>
              <w:jc w:val="center"/>
              <w:rPr>
                <w:rFonts w:asciiTheme="majorBidi" w:hAnsiTheme="majorBidi" w:cstheme="majorBidi"/>
                <w:color w:val="000000"/>
                <w:sz w:val="16"/>
                <w:szCs w:val="16"/>
              </w:rPr>
            </w:pPr>
            <w:r w:rsidRPr="00BD4B00">
              <w:rPr>
                <w:rFonts w:asciiTheme="majorBidi" w:hAnsiTheme="majorBidi" w:cstheme="majorBidi"/>
                <w:color w:val="000000"/>
                <w:sz w:val="16"/>
                <w:szCs w:val="16"/>
              </w:rPr>
              <w:t>-62,2</w:t>
            </w:r>
          </w:p>
        </w:tc>
        <w:tc>
          <w:tcPr>
            <w:tcW w:w="0" w:type="auto"/>
            <w:tcBorders>
              <w:top w:val="nil"/>
              <w:left w:val="nil"/>
              <w:bottom w:val="single" w:sz="4" w:space="0" w:color="auto"/>
              <w:right w:val="single" w:sz="4" w:space="0" w:color="auto"/>
            </w:tcBorders>
            <w:shd w:val="clear" w:color="auto" w:fill="auto"/>
            <w:vAlign w:val="center"/>
            <w:hideMark/>
          </w:tcPr>
          <w:p w:rsidR="00352124" w:rsidRPr="00BD4B00" w:rsidRDefault="00352124" w:rsidP="00BD4B00">
            <w:pPr>
              <w:widowControl/>
              <w:autoSpaceDE/>
              <w:autoSpaceDN/>
              <w:adjustRightInd/>
              <w:spacing w:line="360" w:lineRule="auto"/>
              <w:jc w:val="center"/>
              <w:rPr>
                <w:rFonts w:asciiTheme="majorBidi" w:hAnsiTheme="majorBidi" w:cstheme="majorBidi"/>
                <w:color w:val="000000"/>
                <w:sz w:val="16"/>
                <w:szCs w:val="16"/>
              </w:rPr>
            </w:pPr>
            <w:r w:rsidRPr="00BD4B00">
              <w:rPr>
                <w:rFonts w:asciiTheme="majorBidi" w:hAnsiTheme="majorBidi" w:cstheme="majorBidi"/>
                <w:color w:val="000000"/>
                <w:sz w:val="16"/>
                <w:szCs w:val="16"/>
              </w:rPr>
              <w:t>-78,3</w:t>
            </w:r>
          </w:p>
        </w:tc>
        <w:tc>
          <w:tcPr>
            <w:tcW w:w="0" w:type="auto"/>
            <w:tcBorders>
              <w:top w:val="nil"/>
              <w:left w:val="nil"/>
              <w:bottom w:val="single" w:sz="4" w:space="0" w:color="auto"/>
              <w:right w:val="single" w:sz="4" w:space="0" w:color="auto"/>
            </w:tcBorders>
            <w:shd w:val="clear" w:color="auto" w:fill="auto"/>
            <w:vAlign w:val="center"/>
            <w:hideMark/>
          </w:tcPr>
          <w:p w:rsidR="00352124" w:rsidRPr="00BD4B00" w:rsidRDefault="00352124" w:rsidP="00BD4B00">
            <w:pPr>
              <w:widowControl/>
              <w:autoSpaceDE/>
              <w:autoSpaceDN/>
              <w:adjustRightInd/>
              <w:spacing w:line="360" w:lineRule="auto"/>
              <w:jc w:val="center"/>
              <w:rPr>
                <w:rFonts w:asciiTheme="majorBidi" w:hAnsiTheme="majorBidi" w:cstheme="majorBidi"/>
                <w:color w:val="000000"/>
                <w:sz w:val="16"/>
                <w:szCs w:val="16"/>
              </w:rPr>
            </w:pPr>
            <w:r w:rsidRPr="00BD4B00">
              <w:rPr>
                <w:rFonts w:asciiTheme="majorBidi" w:hAnsiTheme="majorBidi" w:cstheme="majorBidi"/>
                <w:color w:val="000000"/>
                <w:sz w:val="16"/>
                <w:szCs w:val="16"/>
              </w:rPr>
              <w:t>-82</w:t>
            </w:r>
          </w:p>
        </w:tc>
        <w:tc>
          <w:tcPr>
            <w:tcW w:w="0" w:type="auto"/>
            <w:tcBorders>
              <w:top w:val="nil"/>
              <w:left w:val="nil"/>
              <w:bottom w:val="single" w:sz="4" w:space="0" w:color="auto"/>
              <w:right w:val="single" w:sz="4" w:space="0" w:color="auto"/>
            </w:tcBorders>
            <w:shd w:val="clear" w:color="auto" w:fill="auto"/>
            <w:vAlign w:val="center"/>
            <w:hideMark/>
          </w:tcPr>
          <w:p w:rsidR="00352124" w:rsidRPr="00BD4B00" w:rsidRDefault="00352124" w:rsidP="00BD4B00">
            <w:pPr>
              <w:widowControl/>
              <w:autoSpaceDE/>
              <w:autoSpaceDN/>
              <w:adjustRightInd/>
              <w:spacing w:line="360" w:lineRule="auto"/>
              <w:jc w:val="center"/>
              <w:rPr>
                <w:rFonts w:asciiTheme="majorBidi" w:hAnsiTheme="majorBidi" w:cstheme="majorBidi"/>
                <w:color w:val="000000"/>
                <w:sz w:val="16"/>
                <w:szCs w:val="16"/>
              </w:rPr>
            </w:pPr>
            <w:r w:rsidRPr="00BD4B00">
              <w:rPr>
                <w:rFonts w:asciiTheme="majorBidi" w:hAnsiTheme="majorBidi" w:cstheme="majorBidi"/>
                <w:color w:val="000000"/>
                <w:sz w:val="16"/>
                <w:szCs w:val="16"/>
              </w:rPr>
              <w:t>-75,2</w:t>
            </w:r>
          </w:p>
        </w:tc>
        <w:tc>
          <w:tcPr>
            <w:tcW w:w="0" w:type="auto"/>
            <w:tcBorders>
              <w:top w:val="nil"/>
              <w:left w:val="nil"/>
              <w:bottom w:val="single" w:sz="4" w:space="0" w:color="auto"/>
              <w:right w:val="single" w:sz="4" w:space="0" w:color="auto"/>
            </w:tcBorders>
            <w:shd w:val="clear" w:color="auto" w:fill="auto"/>
            <w:vAlign w:val="center"/>
            <w:hideMark/>
          </w:tcPr>
          <w:p w:rsidR="00352124" w:rsidRPr="00BD4B00" w:rsidRDefault="00352124" w:rsidP="00BD4B00">
            <w:pPr>
              <w:widowControl/>
              <w:autoSpaceDE/>
              <w:autoSpaceDN/>
              <w:adjustRightInd/>
              <w:spacing w:line="360" w:lineRule="auto"/>
              <w:jc w:val="center"/>
              <w:rPr>
                <w:rFonts w:asciiTheme="majorBidi" w:hAnsiTheme="majorBidi" w:cstheme="majorBidi"/>
                <w:color w:val="000000"/>
                <w:sz w:val="16"/>
                <w:szCs w:val="16"/>
              </w:rPr>
            </w:pPr>
            <w:r w:rsidRPr="00BD4B00">
              <w:rPr>
                <w:rFonts w:asciiTheme="majorBidi" w:hAnsiTheme="majorBidi" w:cstheme="majorBidi"/>
                <w:color w:val="000000"/>
                <w:sz w:val="16"/>
                <w:szCs w:val="16"/>
              </w:rPr>
              <w:t>-70,8</w:t>
            </w:r>
          </w:p>
        </w:tc>
        <w:tc>
          <w:tcPr>
            <w:tcW w:w="0" w:type="auto"/>
            <w:tcBorders>
              <w:top w:val="nil"/>
              <w:left w:val="nil"/>
              <w:bottom w:val="single" w:sz="4" w:space="0" w:color="auto"/>
              <w:right w:val="single" w:sz="4" w:space="0" w:color="auto"/>
            </w:tcBorders>
            <w:shd w:val="clear" w:color="auto" w:fill="auto"/>
            <w:vAlign w:val="center"/>
            <w:hideMark/>
          </w:tcPr>
          <w:p w:rsidR="00352124" w:rsidRPr="00BD4B00" w:rsidRDefault="00352124" w:rsidP="00BD4B00">
            <w:pPr>
              <w:widowControl/>
              <w:autoSpaceDE/>
              <w:autoSpaceDN/>
              <w:adjustRightInd/>
              <w:spacing w:line="360" w:lineRule="auto"/>
              <w:jc w:val="center"/>
              <w:rPr>
                <w:rFonts w:asciiTheme="majorBidi" w:hAnsiTheme="majorBidi" w:cstheme="majorBidi"/>
                <w:color w:val="000000"/>
                <w:sz w:val="16"/>
                <w:szCs w:val="16"/>
              </w:rPr>
            </w:pPr>
            <w:r w:rsidRPr="00BD4B00">
              <w:rPr>
                <w:rFonts w:asciiTheme="majorBidi" w:hAnsiTheme="majorBidi" w:cstheme="majorBidi"/>
                <w:color w:val="000000"/>
                <w:sz w:val="16"/>
                <w:szCs w:val="16"/>
              </w:rPr>
              <w:t>-71,6</w:t>
            </w:r>
          </w:p>
        </w:tc>
        <w:tc>
          <w:tcPr>
            <w:tcW w:w="0" w:type="auto"/>
            <w:tcBorders>
              <w:top w:val="nil"/>
              <w:left w:val="nil"/>
              <w:bottom w:val="single" w:sz="4" w:space="0" w:color="auto"/>
              <w:right w:val="single" w:sz="4" w:space="0" w:color="auto"/>
            </w:tcBorders>
            <w:shd w:val="clear" w:color="auto" w:fill="auto"/>
            <w:vAlign w:val="center"/>
            <w:hideMark/>
          </w:tcPr>
          <w:p w:rsidR="00352124" w:rsidRPr="00BD4B00" w:rsidRDefault="00352124" w:rsidP="00BD4B00">
            <w:pPr>
              <w:widowControl/>
              <w:autoSpaceDE/>
              <w:autoSpaceDN/>
              <w:adjustRightInd/>
              <w:spacing w:line="360" w:lineRule="auto"/>
              <w:jc w:val="center"/>
              <w:rPr>
                <w:rFonts w:asciiTheme="majorBidi" w:hAnsiTheme="majorBidi" w:cstheme="majorBidi"/>
                <w:color w:val="000000"/>
                <w:sz w:val="16"/>
                <w:szCs w:val="16"/>
              </w:rPr>
            </w:pPr>
            <w:r w:rsidRPr="00BD4B00">
              <w:rPr>
                <w:rFonts w:asciiTheme="majorBidi" w:hAnsiTheme="majorBidi" w:cstheme="majorBidi"/>
                <w:color w:val="000000"/>
                <w:sz w:val="16"/>
                <w:szCs w:val="16"/>
              </w:rPr>
              <w:t>-71,8</w:t>
            </w:r>
          </w:p>
        </w:tc>
        <w:tc>
          <w:tcPr>
            <w:tcW w:w="0" w:type="auto"/>
            <w:tcBorders>
              <w:top w:val="nil"/>
              <w:left w:val="nil"/>
              <w:bottom w:val="single" w:sz="4" w:space="0" w:color="auto"/>
              <w:right w:val="single" w:sz="4" w:space="0" w:color="auto"/>
            </w:tcBorders>
            <w:shd w:val="clear" w:color="auto" w:fill="auto"/>
            <w:vAlign w:val="center"/>
            <w:hideMark/>
          </w:tcPr>
          <w:p w:rsidR="00352124" w:rsidRPr="00BD4B00" w:rsidRDefault="00352124" w:rsidP="00BD4B00">
            <w:pPr>
              <w:widowControl/>
              <w:autoSpaceDE/>
              <w:autoSpaceDN/>
              <w:adjustRightInd/>
              <w:spacing w:line="360" w:lineRule="auto"/>
              <w:jc w:val="center"/>
              <w:rPr>
                <w:rFonts w:asciiTheme="majorBidi" w:hAnsiTheme="majorBidi" w:cstheme="majorBidi"/>
                <w:color w:val="000000"/>
                <w:sz w:val="16"/>
                <w:szCs w:val="16"/>
              </w:rPr>
            </w:pPr>
            <w:r w:rsidRPr="00BD4B00">
              <w:rPr>
                <w:rFonts w:asciiTheme="majorBidi" w:hAnsiTheme="majorBidi" w:cstheme="majorBidi"/>
                <w:color w:val="000000"/>
                <w:sz w:val="16"/>
                <w:szCs w:val="16"/>
              </w:rPr>
              <w:t>-76,9</w:t>
            </w:r>
          </w:p>
        </w:tc>
        <w:tc>
          <w:tcPr>
            <w:tcW w:w="0" w:type="auto"/>
            <w:tcBorders>
              <w:top w:val="nil"/>
              <w:left w:val="nil"/>
              <w:bottom w:val="single" w:sz="4" w:space="0" w:color="auto"/>
              <w:right w:val="single" w:sz="4" w:space="0" w:color="auto"/>
            </w:tcBorders>
            <w:shd w:val="clear" w:color="auto" w:fill="auto"/>
            <w:vAlign w:val="center"/>
            <w:hideMark/>
          </w:tcPr>
          <w:p w:rsidR="00352124" w:rsidRPr="00BD4B00" w:rsidRDefault="00352124" w:rsidP="00BD4B00">
            <w:pPr>
              <w:widowControl/>
              <w:autoSpaceDE/>
              <w:autoSpaceDN/>
              <w:adjustRightInd/>
              <w:spacing w:line="360" w:lineRule="auto"/>
              <w:jc w:val="center"/>
              <w:rPr>
                <w:rFonts w:asciiTheme="majorBidi" w:hAnsiTheme="majorBidi" w:cstheme="majorBidi"/>
                <w:color w:val="000000"/>
                <w:sz w:val="16"/>
                <w:szCs w:val="16"/>
              </w:rPr>
            </w:pPr>
            <w:r w:rsidRPr="00BD4B00">
              <w:rPr>
                <w:rFonts w:asciiTheme="majorBidi" w:hAnsiTheme="majorBidi" w:cstheme="majorBidi"/>
                <w:color w:val="000000"/>
                <w:sz w:val="16"/>
                <w:szCs w:val="16"/>
              </w:rPr>
              <w:t>-75,6</w:t>
            </w:r>
          </w:p>
        </w:tc>
        <w:tc>
          <w:tcPr>
            <w:tcW w:w="0" w:type="auto"/>
            <w:tcBorders>
              <w:top w:val="nil"/>
              <w:left w:val="nil"/>
              <w:bottom w:val="single" w:sz="4" w:space="0" w:color="auto"/>
              <w:right w:val="single" w:sz="4" w:space="0" w:color="auto"/>
            </w:tcBorders>
            <w:shd w:val="clear" w:color="auto" w:fill="auto"/>
            <w:vAlign w:val="center"/>
            <w:hideMark/>
          </w:tcPr>
          <w:p w:rsidR="00352124" w:rsidRPr="00BD4B00" w:rsidRDefault="00352124" w:rsidP="00BD4B00">
            <w:pPr>
              <w:widowControl/>
              <w:autoSpaceDE/>
              <w:autoSpaceDN/>
              <w:adjustRightInd/>
              <w:spacing w:line="360" w:lineRule="auto"/>
              <w:jc w:val="center"/>
              <w:rPr>
                <w:rFonts w:asciiTheme="majorBidi" w:hAnsiTheme="majorBidi" w:cstheme="majorBidi"/>
                <w:color w:val="000000"/>
                <w:sz w:val="16"/>
                <w:szCs w:val="16"/>
              </w:rPr>
            </w:pPr>
            <w:r w:rsidRPr="00BD4B00">
              <w:rPr>
                <w:rFonts w:asciiTheme="majorBidi" w:hAnsiTheme="majorBidi" w:cstheme="majorBidi"/>
                <w:color w:val="000000"/>
                <w:sz w:val="16"/>
                <w:szCs w:val="16"/>
              </w:rPr>
              <w:t>-70</w:t>
            </w:r>
          </w:p>
        </w:tc>
        <w:tc>
          <w:tcPr>
            <w:tcW w:w="0" w:type="auto"/>
            <w:tcBorders>
              <w:top w:val="nil"/>
              <w:left w:val="nil"/>
              <w:bottom w:val="single" w:sz="4" w:space="0" w:color="auto"/>
              <w:right w:val="single" w:sz="4" w:space="0" w:color="auto"/>
            </w:tcBorders>
            <w:shd w:val="clear" w:color="auto" w:fill="auto"/>
            <w:vAlign w:val="center"/>
            <w:hideMark/>
          </w:tcPr>
          <w:p w:rsidR="00352124" w:rsidRPr="00BD4B00" w:rsidRDefault="00352124" w:rsidP="00BD4B00">
            <w:pPr>
              <w:widowControl/>
              <w:autoSpaceDE/>
              <w:autoSpaceDN/>
              <w:adjustRightInd/>
              <w:spacing w:line="360" w:lineRule="auto"/>
              <w:jc w:val="center"/>
              <w:rPr>
                <w:rFonts w:asciiTheme="majorBidi" w:hAnsiTheme="majorBidi" w:cstheme="majorBidi"/>
                <w:color w:val="000000"/>
                <w:sz w:val="16"/>
                <w:szCs w:val="16"/>
              </w:rPr>
            </w:pPr>
            <w:r w:rsidRPr="00BD4B00">
              <w:rPr>
                <w:rFonts w:asciiTheme="majorBidi" w:hAnsiTheme="majorBidi" w:cstheme="majorBidi"/>
                <w:color w:val="000000"/>
                <w:sz w:val="16"/>
                <w:szCs w:val="16"/>
              </w:rPr>
              <w:t>-65,2</w:t>
            </w:r>
          </w:p>
        </w:tc>
        <w:tc>
          <w:tcPr>
            <w:tcW w:w="0" w:type="auto"/>
            <w:tcBorders>
              <w:top w:val="nil"/>
              <w:left w:val="nil"/>
              <w:bottom w:val="single" w:sz="4" w:space="0" w:color="auto"/>
              <w:right w:val="single" w:sz="4" w:space="0" w:color="auto"/>
            </w:tcBorders>
            <w:shd w:val="clear" w:color="auto" w:fill="auto"/>
            <w:vAlign w:val="center"/>
            <w:hideMark/>
          </w:tcPr>
          <w:p w:rsidR="00352124" w:rsidRPr="00BD4B00" w:rsidRDefault="00352124" w:rsidP="00BD4B00">
            <w:pPr>
              <w:widowControl/>
              <w:autoSpaceDE/>
              <w:autoSpaceDN/>
              <w:adjustRightInd/>
              <w:spacing w:line="360" w:lineRule="auto"/>
              <w:jc w:val="center"/>
              <w:rPr>
                <w:rFonts w:asciiTheme="majorBidi" w:hAnsiTheme="majorBidi" w:cstheme="majorBidi"/>
                <w:color w:val="000000"/>
                <w:sz w:val="16"/>
                <w:szCs w:val="16"/>
              </w:rPr>
            </w:pPr>
            <w:r w:rsidRPr="00BD4B00">
              <w:rPr>
                <w:rFonts w:asciiTheme="majorBidi" w:hAnsiTheme="majorBidi" w:cstheme="majorBidi"/>
                <w:color w:val="000000"/>
                <w:sz w:val="16"/>
                <w:szCs w:val="16"/>
              </w:rPr>
              <w:t>-61,7</w:t>
            </w:r>
          </w:p>
        </w:tc>
        <w:tc>
          <w:tcPr>
            <w:tcW w:w="0" w:type="auto"/>
            <w:tcBorders>
              <w:top w:val="nil"/>
              <w:left w:val="nil"/>
              <w:bottom w:val="single" w:sz="4" w:space="0" w:color="auto"/>
              <w:right w:val="single" w:sz="4" w:space="0" w:color="auto"/>
            </w:tcBorders>
            <w:shd w:val="clear" w:color="auto" w:fill="auto"/>
            <w:vAlign w:val="center"/>
            <w:hideMark/>
          </w:tcPr>
          <w:p w:rsidR="00352124" w:rsidRPr="00BD4B00" w:rsidRDefault="00352124" w:rsidP="00BD4B00">
            <w:pPr>
              <w:widowControl/>
              <w:autoSpaceDE/>
              <w:autoSpaceDN/>
              <w:adjustRightInd/>
              <w:spacing w:line="360" w:lineRule="auto"/>
              <w:jc w:val="center"/>
              <w:rPr>
                <w:rFonts w:asciiTheme="majorBidi" w:hAnsiTheme="majorBidi" w:cstheme="majorBidi"/>
                <w:color w:val="000000"/>
                <w:sz w:val="16"/>
                <w:szCs w:val="16"/>
              </w:rPr>
            </w:pPr>
            <w:r w:rsidRPr="00BD4B00">
              <w:rPr>
                <w:rFonts w:asciiTheme="majorBidi" w:hAnsiTheme="majorBidi" w:cstheme="majorBidi"/>
                <w:color w:val="000000"/>
                <w:sz w:val="16"/>
                <w:szCs w:val="16"/>
              </w:rPr>
              <w:t>-54,5</w:t>
            </w:r>
          </w:p>
        </w:tc>
        <w:tc>
          <w:tcPr>
            <w:tcW w:w="0" w:type="auto"/>
            <w:tcBorders>
              <w:top w:val="nil"/>
              <w:left w:val="nil"/>
              <w:bottom w:val="single" w:sz="4" w:space="0" w:color="auto"/>
              <w:right w:val="single" w:sz="4" w:space="0" w:color="auto"/>
            </w:tcBorders>
            <w:shd w:val="clear" w:color="auto" w:fill="auto"/>
            <w:vAlign w:val="center"/>
            <w:hideMark/>
          </w:tcPr>
          <w:p w:rsidR="00352124" w:rsidRPr="00BD4B00" w:rsidRDefault="00352124" w:rsidP="00BD4B00">
            <w:pPr>
              <w:widowControl/>
              <w:autoSpaceDE/>
              <w:autoSpaceDN/>
              <w:adjustRightInd/>
              <w:spacing w:line="360" w:lineRule="auto"/>
              <w:jc w:val="center"/>
              <w:rPr>
                <w:rFonts w:asciiTheme="majorBidi" w:hAnsiTheme="majorBidi" w:cstheme="majorBidi"/>
                <w:color w:val="000000"/>
                <w:sz w:val="16"/>
                <w:szCs w:val="16"/>
              </w:rPr>
            </w:pPr>
            <w:r w:rsidRPr="00BD4B00">
              <w:rPr>
                <w:rFonts w:asciiTheme="majorBidi" w:hAnsiTheme="majorBidi" w:cstheme="majorBidi"/>
                <w:color w:val="000000"/>
                <w:sz w:val="16"/>
                <w:szCs w:val="16"/>
              </w:rPr>
              <w:t>-58,5</w:t>
            </w:r>
          </w:p>
        </w:tc>
        <w:tc>
          <w:tcPr>
            <w:tcW w:w="0" w:type="auto"/>
            <w:tcBorders>
              <w:top w:val="nil"/>
              <w:left w:val="nil"/>
              <w:bottom w:val="single" w:sz="4" w:space="0" w:color="auto"/>
              <w:right w:val="single" w:sz="4" w:space="0" w:color="auto"/>
            </w:tcBorders>
            <w:shd w:val="clear" w:color="auto" w:fill="auto"/>
            <w:vAlign w:val="center"/>
            <w:hideMark/>
          </w:tcPr>
          <w:p w:rsidR="00352124" w:rsidRPr="00BD4B00" w:rsidRDefault="00352124" w:rsidP="00BD4B00">
            <w:pPr>
              <w:widowControl/>
              <w:autoSpaceDE/>
              <w:autoSpaceDN/>
              <w:adjustRightInd/>
              <w:spacing w:line="360" w:lineRule="auto"/>
              <w:jc w:val="center"/>
              <w:rPr>
                <w:rFonts w:asciiTheme="majorBidi" w:hAnsiTheme="majorBidi" w:cstheme="majorBidi"/>
                <w:color w:val="000000"/>
                <w:sz w:val="16"/>
                <w:szCs w:val="16"/>
              </w:rPr>
            </w:pPr>
            <w:r w:rsidRPr="00BD4B00">
              <w:rPr>
                <w:rFonts w:asciiTheme="majorBidi" w:hAnsiTheme="majorBidi" w:cstheme="majorBidi"/>
                <w:color w:val="000000"/>
                <w:sz w:val="16"/>
                <w:szCs w:val="16"/>
              </w:rPr>
              <w:t>-59,9</w:t>
            </w:r>
          </w:p>
        </w:tc>
        <w:tc>
          <w:tcPr>
            <w:tcW w:w="0" w:type="auto"/>
            <w:tcBorders>
              <w:top w:val="nil"/>
              <w:left w:val="nil"/>
              <w:bottom w:val="single" w:sz="4" w:space="0" w:color="auto"/>
              <w:right w:val="single" w:sz="4" w:space="0" w:color="auto"/>
            </w:tcBorders>
            <w:shd w:val="clear" w:color="auto" w:fill="auto"/>
            <w:vAlign w:val="center"/>
            <w:hideMark/>
          </w:tcPr>
          <w:p w:rsidR="00352124" w:rsidRPr="00BD4B00" w:rsidRDefault="00352124" w:rsidP="00BD4B00">
            <w:pPr>
              <w:widowControl/>
              <w:autoSpaceDE/>
              <w:autoSpaceDN/>
              <w:adjustRightInd/>
              <w:spacing w:line="360" w:lineRule="auto"/>
              <w:jc w:val="center"/>
              <w:rPr>
                <w:rFonts w:asciiTheme="majorBidi" w:hAnsiTheme="majorBidi" w:cstheme="majorBidi"/>
                <w:color w:val="000000"/>
                <w:sz w:val="16"/>
                <w:szCs w:val="16"/>
              </w:rPr>
            </w:pPr>
            <w:r w:rsidRPr="00BD4B00">
              <w:rPr>
                <w:rFonts w:asciiTheme="majorBidi" w:hAnsiTheme="majorBidi" w:cstheme="majorBidi"/>
                <w:color w:val="000000"/>
                <w:sz w:val="16"/>
                <w:szCs w:val="16"/>
              </w:rPr>
              <w:t>-54,3</w:t>
            </w:r>
          </w:p>
        </w:tc>
        <w:tc>
          <w:tcPr>
            <w:tcW w:w="0" w:type="auto"/>
            <w:tcBorders>
              <w:top w:val="nil"/>
              <w:left w:val="nil"/>
              <w:bottom w:val="single" w:sz="4" w:space="0" w:color="auto"/>
              <w:right w:val="single" w:sz="4" w:space="0" w:color="auto"/>
            </w:tcBorders>
            <w:shd w:val="clear" w:color="auto" w:fill="auto"/>
            <w:vAlign w:val="center"/>
            <w:hideMark/>
          </w:tcPr>
          <w:p w:rsidR="00352124" w:rsidRPr="00BD4B00" w:rsidRDefault="00352124" w:rsidP="00BD4B00">
            <w:pPr>
              <w:widowControl/>
              <w:autoSpaceDE/>
              <w:autoSpaceDN/>
              <w:adjustRightInd/>
              <w:spacing w:line="360" w:lineRule="auto"/>
              <w:jc w:val="center"/>
              <w:rPr>
                <w:rFonts w:asciiTheme="majorBidi" w:hAnsiTheme="majorBidi" w:cstheme="majorBidi"/>
                <w:color w:val="000000"/>
                <w:sz w:val="16"/>
                <w:szCs w:val="16"/>
              </w:rPr>
            </w:pPr>
            <w:r w:rsidRPr="00BD4B00">
              <w:rPr>
                <w:rFonts w:asciiTheme="majorBidi" w:hAnsiTheme="majorBidi" w:cstheme="majorBidi"/>
                <w:color w:val="000000"/>
                <w:sz w:val="16"/>
                <w:szCs w:val="16"/>
              </w:rPr>
              <w:t>-64,9</w:t>
            </w:r>
          </w:p>
        </w:tc>
        <w:tc>
          <w:tcPr>
            <w:tcW w:w="0" w:type="auto"/>
            <w:tcBorders>
              <w:top w:val="nil"/>
              <w:left w:val="nil"/>
              <w:bottom w:val="single" w:sz="4" w:space="0" w:color="auto"/>
              <w:right w:val="single" w:sz="4" w:space="0" w:color="auto"/>
            </w:tcBorders>
            <w:shd w:val="clear" w:color="auto" w:fill="auto"/>
            <w:vAlign w:val="center"/>
            <w:hideMark/>
          </w:tcPr>
          <w:p w:rsidR="00352124" w:rsidRPr="00BD4B00" w:rsidRDefault="00352124" w:rsidP="00BD4B00">
            <w:pPr>
              <w:widowControl/>
              <w:autoSpaceDE/>
              <w:autoSpaceDN/>
              <w:adjustRightInd/>
              <w:spacing w:line="360" w:lineRule="auto"/>
              <w:jc w:val="center"/>
              <w:rPr>
                <w:rFonts w:asciiTheme="majorBidi" w:hAnsiTheme="majorBidi" w:cstheme="majorBidi"/>
                <w:color w:val="000000"/>
                <w:sz w:val="16"/>
                <w:szCs w:val="16"/>
              </w:rPr>
            </w:pPr>
            <w:r w:rsidRPr="00BD4B00">
              <w:rPr>
                <w:rFonts w:asciiTheme="majorBidi" w:hAnsiTheme="majorBidi" w:cstheme="majorBidi"/>
                <w:color w:val="000000"/>
                <w:sz w:val="16"/>
                <w:szCs w:val="16"/>
              </w:rPr>
              <w:t>-66,8</w:t>
            </w:r>
          </w:p>
        </w:tc>
        <w:tc>
          <w:tcPr>
            <w:tcW w:w="0" w:type="auto"/>
            <w:tcBorders>
              <w:top w:val="nil"/>
              <w:left w:val="nil"/>
              <w:bottom w:val="single" w:sz="4" w:space="0" w:color="auto"/>
              <w:right w:val="single" w:sz="4" w:space="0" w:color="auto"/>
            </w:tcBorders>
            <w:shd w:val="clear" w:color="auto" w:fill="auto"/>
            <w:vAlign w:val="center"/>
            <w:hideMark/>
          </w:tcPr>
          <w:p w:rsidR="00352124" w:rsidRPr="00BD4B00" w:rsidRDefault="00352124" w:rsidP="00BD4B00">
            <w:pPr>
              <w:widowControl/>
              <w:autoSpaceDE/>
              <w:autoSpaceDN/>
              <w:adjustRightInd/>
              <w:spacing w:line="360" w:lineRule="auto"/>
              <w:jc w:val="center"/>
              <w:rPr>
                <w:rFonts w:asciiTheme="majorBidi" w:hAnsiTheme="majorBidi" w:cstheme="majorBidi"/>
                <w:color w:val="000000"/>
                <w:sz w:val="16"/>
                <w:szCs w:val="16"/>
              </w:rPr>
            </w:pPr>
            <w:r w:rsidRPr="00BD4B00">
              <w:rPr>
                <w:rFonts w:asciiTheme="majorBidi" w:hAnsiTheme="majorBidi" w:cstheme="majorBidi"/>
                <w:color w:val="000000"/>
                <w:sz w:val="16"/>
                <w:szCs w:val="16"/>
              </w:rPr>
              <w:t>-70,6</w:t>
            </w:r>
          </w:p>
        </w:tc>
        <w:tc>
          <w:tcPr>
            <w:tcW w:w="0" w:type="auto"/>
            <w:tcBorders>
              <w:top w:val="nil"/>
              <w:left w:val="nil"/>
              <w:bottom w:val="single" w:sz="4" w:space="0" w:color="auto"/>
              <w:right w:val="single" w:sz="4" w:space="0" w:color="auto"/>
            </w:tcBorders>
            <w:shd w:val="clear" w:color="auto" w:fill="auto"/>
            <w:vAlign w:val="center"/>
            <w:hideMark/>
          </w:tcPr>
          <w:p w:rsidR="00352124" w:rsidRPr="00BD4B00" w:rsidRDefault="00352124" w:rsidP="00BD4B00">
            <w:pPr>
              <w:widowControl/>
              <w:autoSpaceDE/>
              <w:autoSpaceDN/>
              <w:adjustRightInd/>
              <w:spacing w:line="360" w:lineRule="auto"/>
              <w:jc w:val="center"/>
              <w:rPr>
                <w:rFonts w:asciiTheme="majorBidi" w:hAnsiTheme="majorBidi" w:cstheme="majorBidi"/>
                <w:color w:val="000000"/>
                <w:sz w:val="16"/>
                <w:szCs w:val="16"/>
              </w:rPr>
            </w:pPr>
            <w:r w:rsidRPr="00BD4B00">
              <w:rPr>
                <w:rFonts w:asciiTheme="majorBidi" w:hAnsiTheme="majorBidi" w:cstheme="majorBidi"/>
                <w:color w:val="000000"/>
                <w:sz w:val="16"/>
                <w:szCs w:val="16"/>
              </w:rPr>
              <w:t>-69</w:t>
            </w:r>
          </w:p>
        </w:tc>
        <w:tc>
          <w:tcPr>
            <w:tcW w:w="0" w:type="auto"/>
            <w:tcBorders>
              <w:top w:val="nil"/>
              <w:left w:val="nil"/>
              <w:bottom w:val="single" w:sz="4" w:space="0" w:color="auto"/>
              <w:right w:val="single" w:sz="4" w:space="0" w:color="auto"/>
            </w:tcBorders>
            <w:shd w:val="clear" w:color="auto" w:fill="auto"/>
            <w:vAlign w:val="center"/>
            <w:hideMark/>
          </w:tcPr>
          <w:p w:rsidR="00352124" w:rsidRPr="00BD4B00" w:rsidRDefault="00352124" w:rsidP="00BD4B00">
            <w:pPr>
              <w:widowControl/>
              <w:autoSpaceDE/>
              <w:autoSpaceDN/>
              <w:adjustRightInd/>
              <w:spacing w:line="360" w:lineRule="auto"/>
              <w:jc w:val="center"/>
              <w:rPr>
                <w:rFonts w:asciiTheme="majorBidi" w:hAnsiTheme="majorBidi" w:cstheme="majorBidi"/>
                <w:color w:val="000000"/>
                <w:sz w:val="16"/>
                <w:szCs w:val="16"/>
              </w:rPr>
            </w:pPr>
            <w:r w:rsidRPr="00BD4B00">
              <w:rPr>
                <w:rFonts w:asciiTheme="majorBidi" w:hAnsiTheme="majorBidi" w:cstheme="majorBidi"/>
                <w:color w:val="000000"/>
                <w:sz w:val="16"/>
                <w:szCs w:val="16"/>
              </w:rPr>
              <w:t>-67,7</w:t>
            </w:r>
          </w:p>
        </w:tc>
        <w:tc>
          <w:tcPr>
            <w:tcW w:w="0" w:type="auto"/>
            <w:tcBorders>
              <w:top w:val="nil"/>
              <w:left w:val="nil"/>
              <w:bottom w:val="single" w:sz="4" w:space="0" w:color="auto"/>
              <w:right w:val="single" w:sz="4" w:space="0" w:color="auto"/>
            </w:tcBorders>
            <w:shd w:val="clear" w:color="auto" w:fill="auto"/>
            <w:vAlign w:val="center"/>
            <w:hideMark/>
          </w:tcPr>
          <w:p w:rsidR="00352124" w:rsidRPr="00BD4B00" w:rsidRDefault="00352124" w:rsidP="00BD4B00">
            <w:pPr>
              <w:widowControl/>
              <w:autoSpaceDE/>
              <w:autoSpaceDN/>
              <w:bidi/>
              <w:adjustRightInd/>
              <w:spacing w:line="360" w:lineRule="auto"/>
              <w:rPr>
                <w:rFonts w:asciiTheme="majorBidi" w:hAnsiTheme="majorBidi" w:cstheme="majorBidi"/>
                <w:b/>
                <w:bCs/>
                <w:color w:val="000000"/>
                <w:sz w:val="16"/>
                <w:szCs w:val="16"/>
              </w:rPr>
            </w:pPr>
            <w:r w:rsidRPr="00BD4B00">
              <w:rPr>
                <w:rFonts w:asciiTheme="majorBidi" w:hAnsiTheme="majorBidi" w:cstheme="majorBidi"/>
                <w:b/>
                <w:bCs/>
                <w:color w:val="000000"/>
                <w:sz w:val="16"/>
                <w:szCs w:val="16"/>
                <w:rtl/>
              </w:rPr>
              <w:t>التطور المستقبلي للبطالة</w:t>
            </w:r>
          </w:p>
        </w:tc>
      </w:tr>
      <w:tr w:rsidR="00696211" w:rsidRPr="00BD4B00" w:rsidTr="00BD4B00">
        <w:trPr>
          <w:trHeight w:val="888"/>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352124" w:rsidRPr="00BD4B00" w:rsidRDefault="00352124" w:rsidP="00BD4B00">
            <w:pPr>
              <w:widowControl/>
              <w:autoSpaceDE/>
              <w:autoSpaceDN/>
              <w:adjustRightInd/>
              <w:spacing w:line="360" w:lineRule="auto"/>
              <w:jc w:val="center"/>
              <w:rPr>
                <w:rFonts w:asciiTheme="majorBidi" w:hAnsiTheme="majorBidi" w:cstheme="majorBidi"/>
                <w:color w:val="000000"/>
                <w:sz w:val="16"/>
                <w:szCs w:val="16"/>
              </w:rPr>
            </w:pPr>
            <w:r w:rsidRPr="00BD4B00">
              <w:rPr>
                <w:rFonts w:asciiTheme="majorBidi" w:hAnsiTheme="majorBidi" w:cstheme="majorBidi"/>
                <w:color w:val="000000"/>
                <w:sz w:val="16"/>
                <w:szCs w:val="16"/>
              </w:rPr>
              <w:t>-78,0</w:t>
            </w:r>
          </w:p>
        </w:tc>
        <w:tc>
          <w:tcPr>
            <w:tcW w:w="590" w:type="dxa"/>
            <w:tcBorders>
              <w:top w:val="nil"/>
              <w:left w:val="nil"/>
              <w:bottom w:val="single" w:sz="4" w:space="0" w:color="auto"/>
              <w:right w:val="single" w:sz="4" w:space="0" w:color="auto"/>
            </w:tcBorders>
            <w:shd w:val="clear" w:color="auto" w:fill="auto"/>
            <w:vAlign w:val="center"/>
            <w:hideMark/>
          </w:tcPr>
          <w:p w:rsidR="00352124" w:rsidRPr="00BD4B00" w:rsidRDefault="00352124" w:rsidP="00BD4B00">
            <w:pPr>
              <w:widowControl/>
              <w:autoSpaceDE/>
              <w:autoSpaceDN/>
              <w:adjustRightInd/>
              <w:spacing w:line="360" w:lineRule="auto"/>
              <w:jc w:val="center"/>
              <w:rPr>
                <w:rFonts w:asciiTheme="majorBidi" w:hAnsiTheme="majorBidi" w:cstheme="majorBidi"/>
                <w:color w:val="000000"/>
                <w:sz w:val="16"/>
                <w:szCs w:val="16"/>
              </w:rPr>
            </w:pPr>
            <w:r w:rsidRPr="00BD4B00">
              <w:rPr>
                <w:rFonts w:asciiTheme="majorBidi" w:hAnsiTheme="majorBidi" w:cstheme="majorBidi"/>
                <w:color w:val="000000"/>
                <w:sz w:val="16"/>
                <w:szCs w:val="16"/>
              </w:rPr>
              <w:t>-74,6</w:t>
            </w:r>
          </w:p>
        </w:tc>
        <w:tc>
          <w:tcPr>
            <w:tcW w:w="0" w:type="auto"/>
            <w:tcBorders>
              <w:top w:val="nil"/>
              <w:left w:val="nil"/>
              <w:bottom w:val="single" w:sz="4" w:space="0" w:color="auto"/>
              <w:right w:val="single" w:sz="4" w:space="0" w:color="auto"/>
            </w:tcBorders>
            <w:shd w:val="clear" w:color="auto" w:fill="auto"/>
            <w:vAlign w:val="center"/>
            <w:hideMark/>
          </w:tcPr>
          <w:p w:rsidR="00352124" w:rsidRPr="00BD4B00" w:rsidRDefault="00352124" w:rsidP="00BD4B00">
            <w:pPr>
              <w:widowControl/>
              <w:autoSpaceDE/>
              <w:autoSpaceDN/>
              <w:adjustRightInd/>
              <w:spacing w:line="360" w:lineRule="auto"/>
              <w:jc w:val="center"/>
              <w:rPr>
                <w:rFonts w:asciiTheme="majorBidi" w:hAnsiTheme="majorBidi" w:cstheme="majorBidi"/>
                <w:color w:val="000000"/>
                <w:sz w:val="16"/>
                <w:szCs w:val="16"/>
              </w:rPr>
            </w:pPr>
            <w:r w:rsidRPr="00BD4B00">
              <w:rPr>
                <w:rFonts w:asciiTheme="majorBidi" w:hAnsiTheme="majorBidi" w:cstheme="majorBidi"/>
                <w:color w:val="000000"/>
                <w:sz w:val="16"/>
                <w:szCs w:val="16"/>
              </w:rPr>
              <w:t>-73,0</w:t>
            </w:r>
          </w:p>
        </w:tc>
        <w:tc>
          <w:tcPr>
            <w:tcW w:w="0" w:type="auto"/>
            <w:tcBorders>
              <w:top w:val="nil"/>
              <w:left w:val="nil"/>
              <w:bottom w:val="single" w:sz="4" w:space="0" w:color="auto"/>
              <w:right w:val="single" w:sz="4" w:space="0" w:color="auto"/>
            </w:tcBorders>
            <w:shd w:val="clear" w:color="auto" w:fill="auto"/>
            <w:vAlign w:val="center"/>
            <w:hideMark/>
          </w:tcPr>
          <w:p w:rsidR="00352124" w:rsidRPr="00BD4B00" w:rsidRDefault="00352124" w:rsidP="00BD4B00">
            <w:pPr>
              <w:widowControl/>
              <w:autoSpaceDE/>
              <w:autoSpaceDN/>
              <w:adjustRightInd/>
              <w:spacing w:line="360" w:lineRule="auto"/>
              <w:jc w:val="center"/>
              <w:rPr>
                <w:rFonts w:asciiTheme="majorBidi" w:hAnsiTheme="majorBidi" w:cstheme="majorBidi"/>
                <w:color w:val="000000"/>
                <w:sz w:val="16"/>
                <w:szCs w:val="16"/>
              </w:rPr>
            </w:pPr>
            <w:r w:rsidRPr="00BD4B00">
              <w:rPr>
                <w:rFonts w:asciiTheme="majorBidi" w:hAnsiTheme="majorBidi" w:cstheme="majorBidi"/>
                <w:color w:val="000000"/>
                <w:sz w:val="16"/>
                <w:szCs w:val="16"/>
              </w:rPr>
              <w:t>-66,8</w:t>
            </w:r>
          </w:p>
        </w:tc>
        <w:tc>
          <w:tcPr>
            <w:tcW w:w="0" w:type="auto"/>
            <w:tcBorders>
              <w:top w:val="nil"/>
              <w:left w:val="nil"/>
              <w:bottom w:val="single" w:sz="4" w:space="0" w:color="auto"/>
              <w:right w:val="single" w:sz="4" w:space="0" w:color="auto"/>
            </w:tcBorders>
            <w:shd w:val="clear" w:color="auto" w:fill="auto"/>
            <w:vAlign w:val="center"/>
            <w:hideMark/>
          </w:tcPr>
          <w:p w:rsidR="00352124" w:rsidRPr="00BD4B00" w:rsidRDefault="00352124" w:rsidP="00BD4B00">
            <w:pPr>
              <w:widowControl/>
              <w:autoSpaceDE/>
              <w:autoSpaceDN/>
              <w:adjustRightInd/>
              <w:spacing w:line="360" w:lineRule="auto"/>
              <w:jc w:val="center"/>
              <w:rPr>
                <w:rFonts w:asciiTheme="majorBidi" w:hAnsiTheme="majorBidi" w:cstheme="majorBidi"/>
                <w:color w:val="000000"/>
                <w:sz w:val="16"/>
                <w:szCs w:val="16"/>
              </w:rPr>
            </w:pPr>
            <w:r w:rsidRPr="00BD4B00">
              <w:rPr>
                <w:rFonts w:asciiTheme="majorBidi" w:hAnsiTheme="majorBidi" w:cstheme="majorBidi"/>
                <w:color w:val="000000"/>
                <w:sz w:val="16"/>
                <w:szCs w:val="16"/>
              </w:rPr>
              <w:t>-55,2</w:t>
            </w:r>
          </w:p>
        </w:tc>
        <w:tc>
          <w:tcPr>
            <w:tcW w:w="0" w:type="auto"/>
            <w:tcBorders>
              <w:top w:val="nil"/>
              <w:left w:val="nil"/>
              <w:bottom w:val="single" w:sz="4" w:space="0" w:color="auto"/>
              <w:right w:val="single" w:sz="4" w:space="0" w:color="auto"/>
            </w:tcBorders>
            <w:shd w:val="clear" w:color="auto" w:fill="auto"/>
            <w:vAlign w:val="center"/>
            <w:hideMark/>
          </w:tcPr>
          <w:p w:rsidR="00352124" w:rsidRPr="00BD4B00" w:rsidRDefault="00352124" w:rsidP="00BD4B00">
            <w:pPr>
              <w:widowControl/>
              <w:autoSpaceDE/>
              <w:autoSpaceDN/>
              <w:adjustRightInd/>
              <w:spacing w:line="360" w:lineRule="auto"/>
              <w:jc w:val="center"/>
              <w:rPr>
                <w:rFonts w:asciiTheme="majorBidi" w:hAnsiTheme="majorBidi" w:cstheme="majorBidi"/>
                <w:color w:val="000000"/>
                <w:sz w:val="16"/>
                <w:szCs w:val="16"/>
              </w:rPr>
            </w:pPr>
            <w:r w:rsidRPr="00BD4B00">
              <w:rPr>
                <w:rFonts w:asciiTheme="majorBidi" w:hAnsiTheme="majorBidi" w:cstheme="majorBidi"/>
                <w:color w:val="000000"/>
                <w:sz w:val="16"/>
                <w:szCs w:val="16"/>
              </w:rPr>
              <w:t>-41,5</w:t>
            </w:r>
          </w:p>
        </w:tc>
        <w:tc>
          <w:tcPr>
            <w:tcW w:w="0" w:type="auto"/>
            <w:tcBorders>
              <w:top w:val="nil"/>
              <w:left w:val="nil"/>
              <w:bottom w:val="single" w:sz="4" w:space="0" w:color="auto"/>
              <w:right w:val="single" w:sz="4" w:space="0" w:color="auto"/>
            </w:tcBorders>
            <w:shd w:val="clear" w:color="auto" w:fill="auto"/>
            <w:vAlign w:val="center"/>
            <w:hideMark/>
          </w:tcPr>
          <w:p w:rsidR="00352124" w:rsidRPr="00BD4B00" w:rsidRDefault="00352124" w:rsidP="00BD4B00">
            <w:pPr>
              <w:widowControl/>
              <w:autoSpaceDE/>
              <w:autoSpaceDN/>
              <w:adjustRightInd/>
              <w:spacing w:line="360" w:lineRule="auto"/>
              <w:jc w:val="center"/>
              <w:rPr>
                <w:rFonts w:asciiTheme="majorBidi" w:hAnsiTheme="majorBidi" w:cstheme="majorBidi"/>
                <w:color w:val="000000"/>
                <w:sz w:val="16"/>
                <w:szCs w:val="16"/>
              </w:rPr>
            </w:pPr>
            <w:r w:rsidRPr="00BD4B00">
              <w:rPr>
                <w:rFonts w:asciiTheme="majorBidi" w:hAnsiTheme="majorBidi" w:cstheme="majorBidi"/>
                <w:color w:val="000000"/>
                <w:sz w:val="16"/>
                <w:szCs w:val="16"/>
              </w:rPr>
              <w:t>-50,8</w:t>
            </w:r>
          </w:p>
        </w:tc>
        <w:tc>
          <w:tcPr>
            <w:tcW w:w="0" w:type="auto"/>
            <w:tcBorders>
              <w:top w:val="nil"/>
              <w:left w:val="nil"/>
              <w:bottom w:val="single" w:sz="4" w:space="0" w:color="auto"/>
              <w:right w:val="single" w:sz="4" w:space="0" w:color="auto"/>
            </w:tcBorders>
            <w:shd w:val="clear" w:color="auto" w:fill="auto"/>
            <w:vAlign w:val="center"/>
            <w:hideMark/>
          </w:tcPr>
          <w:p w:rsidR="00352124" w:rsidRPr="00BD4B00" w:rsidRDefault="00352124" w:rsidP="00BD4B00">
            <w:pPr>
              <w:widowControl/>
              <w:autoSpaceDE/>
              <w:autoSpaceDN/>
              <w:adjustRightInd/>
              <w:spacing w:line="360" w:lineRule="auto"/>
              <w:jc w:val="center"/>
              <w:rPr>
                <w:rFonts w:asciiTheme="majorBidi" w:hAnsiTheme="majorBidi" w:cstheme="majorBidi"/>
                <w:color w:val="000000"/>
                <w:sz w:val="16"/>
                <w:szCs w:val="16"/>
              </w:rPr>
            </w:pPr>
            <w:r w:rsidRPr="00BD4B00">
              <w:rPr>
                <w:rFonts w:asciiTheme="majorBidi" w:hAnsiTheme="majorBidi" w:cstheme="majorBidi"/>
                <w:color w:val="000000"/>
                <w:sz w:val="16"/>
                <w:szCs w:val="16"/>
              </w:rPr>
              <w:t>-50,5</w:t>
            </w:r>
          </w:p>
        </w:tc>
        <w:tc>
          <w:tcPr>
            <w:tcW w:w="0" w:type="auto"/>
            <w:tcBorders>
              <w:top w:val="nil"/>
              <w:left w:val="nil"/>
              <w:bottom w:val="single" w:sz="4" w:space="0" w:color="auto"/>
              <w:right w:val="single" w:sz="4" w:space="0" w:color="auto"/>
            </w:tcBorders>
            <w:shd w:val="clear" w:color="auto" w:fill="auto"/>
            <w:vAlign w:val="center"/>
            <w:hideMark/>
          </w:tcPr>
          <w:p w:rsidR="00352124" w:rsidRPr="00BD4B00" w:rsidRDefault="00352124" w:rsidP="00BD4B00">
            <w:pPr>
              <w:widowControl/>
              <w:autoSpaceDE/>
              <w:autoSpaceDN/>
              <w:adjustRightInd/>
              <w:spacing w:line="360" w:lineRule="auto"/>
              <w:jc w:val="center"/>
              <w:rPr>
                <w:rFonts w:asciiTheme="majorBidi" w:hAnsiTheme="majorBidi" w:cstheme="majorBidi"/>
                <w:color w:val="000000"/>
                <w:sz w:val="16"/>
                <w:szCs w:val="16"/>
              </w:rPr>
            </w:pPr>
            <w:r w:rsidRPr="00BD4B00">
              <w:rPr>
                <w:rFonts w:asciiTheme="majorBidi" w:hAnsiTheme="majorBidi" w:cstheme="majorBidi"/>
                <w:color w:val="000000"/>
                <w:sz w:val="16"/>
                <w:szCs w:val="16"/>
              </w:rPr>
              <w:t>-46,6</w:t>
            </w:r>
          </w:p>
        </w:tc>
        <w:tc>
          <w:tcPr>
            <w:tcW w:w="0" w:type="auto"/>
            <w:tcBorders>
              <w:top w:val="nil"/>
              <w:left w:val="nil"/>
              <w:bottom w:val="single" w:sz="4" w:space="0" w:color="auto"/>
              <w:right w:val="single" w:sz="4" w:space="0" w:color="auto"/>
            </w:tcBorders>
            <w:shd w:val="clear" w:color="auto" w:fill="auto"/>
            <w:vAlign w:val="center"/>
            <w:hideMark/>
          </w:tcPr>
          <w:p w:rsidR="00352124" w:rsidRPr="00BD4B00" w:rsidRDefault="00352124" w:rsidP="00BD4B00">
            <w:pPr>
              <w:widowControl/>
              <w:autoSpaceDE/>
              <w:autoSpaceDN/>
              <w:adjustRightInd/>
              <w:spacing w:line="360" w:lineRule="auto"/>
              <w:jc w:val="center"/>
              <w:rPr>
                <w:rFonts w:asciiTheme="majorBidi" w:hAnsiTheme="majorBidi" w:cstheme="majorBidi"/>
                <w:color w:val="000000"/>
                <w:sz w:val="16"/>
                <w:szCs w:val="16"/>
              </w:rPr>
            </w:pPr>
            <w:r w:rsidRPr="00BD4B00">
              <w:rPr>
                <w:rFonts w:asciiTheme="majorBidi" w:hAnsiTheme="majorBidi" w:cstheme="majorBidi"/>
                <w:color w:val="000000"/>
                <w:sz w:val="16"/>
                <w:szCs w:val="16"/>
              </w:rPr>
              <w:t>-35,6</w:t>
            </w:r>
          </w:p>
        </w:tc>
        <w:tc>
          <w:tcPr>
            <w:tcW w:w="0" w:type="auto"/>
            <w:tcBorders>
              <w:top w:val="nil"/>
              <w:left w:val="nil"/>
              <w:bottom w:val="single" w:sz="4" w:space="0" w:color="auto"/>
              <w:right w:val="single" w:sz="4" w:space="0" w:color="auto"/>
            </w:tcBorders>
            <w:shd w:val="clear" w:color="auto" w:fill="auto"/>
            <w:vAlign w:val="center"/>
            <w:hideMark/>
          </w:tcPr>
          <w:p w:rsidR="00352124" w:rsidRPr="00BD4B00" w:rsidRDefault="00352124" w:rsidP="00BD4B00">
            <w:pPr>
              <w:widowControl/>
              <w:autoSpaceDE/>
              <w:autoSpaceDN/>
              <w:adjustRightInd/>
              <w:spacing w:line="360" w:lineRule="auto"/>
              <w:jc w:val="center"/>
              <w:rPr>
                <w:rFonts w:asciiTheme="majorBidi" w:hAnsiTheme="majorBidi" w:cstheme="majorBidi"/>
                <w:color w:val="000000"/>
                <w:sz w:val="16"/>
                <w:szCs w:val="16"/>
              </w:rPr>
            </w:pPr>
            <w:r w:rsidRPr="00BD4B00">
              <w:rPr>
                <w:rFonts w:asciiTheme="majorBidi" w:hAnsiTheme="majorBidi" w:cstheme="majorBidi"/>
                <w:color w:val="000000"/>
                <w:sz w:val="16"/>
                <w:szCs w:val="16"/>
              </w:rPr>
              <w:t>-24,8</w:t>
            </w:r>
          </w:p>
        </w:tc>
        <w:tc>
          <w:tcPr>
            <w:tcW w:w="0" w:type="auto"/>
            <w:tcBorders>
              <w:top w:val="nil"/>
              <w:left w:val="nil"/>
              <w:bottom w:val="single" w:sz="4" w:space="0" w:color="auto"/>
              <w:right w:val="single" w:sz="4" w:space="0" w:color="auto"/>
            </w:tcBorders>
            <w:shd w:val="clear" w:color="auto" w:fill="auto"/>
            <w:vAlign w:val="center"/>
            <w:hideMark/>
          </w:tcPr>
          <w:p w:rsidR="00352124" w:rsidRPr="00BD4B00" w:rsidRDefault="00352124" w:rsidP="00BD4B00">
            <w:pPr>
              <w:widowControl/>
              <w:autoSpaceDE/>
              <w:autoSpaceDN/>
              <w:adjustRightInd/>
              <w:spacing w:line="360" w:lineRule="auto"/>
              <w:jc w:val="center"/>
              <w:rPr>
                <w:rFonts w:asciiTheme="majorBidi" w:hAnsiTheme="majorBidi" w:cstheme="majorBidi"/>
                <w:color w:val="000000"/>
                <w:sz w:val="16"/>
                <w:szCs w:val="16"/>
              </w:rPr>
            </w:pPr>
            <w:r w:rsidRPr="00BD4B00">
              <w:rPr>
                <w:rFonts w:asciiTheme="majorBidi" w:hAnsiTheme="majorBidi" w:cstheme="majorBidi"/>
                <w:color w:val="000000"/>
                <w:sz w:val="16"/>
                <w:szCs w:val="16"/>
              </w:rPr>
              <w:t>-19,8</w:t>
            </w:r>
          </w:p>
        </w:tc>
        <w:tc>
          <w:tcPr>
            <w:tcW w:w="0" w:type="auto"/>
            <w:tcBorders>
              <w:top w:val="nil"/>
              <w:left w:val="nil"/>
              <w:bottom w:val="single" w:sz="4" w:space="0" w:color="auto"/>
              <w:right w:val="single" w:sz="4" w:space="0" w:color="auto"/>
            </w:tcBorders>
            <w:shd w:val="clear" w:color="auto" w:fill="auto"/>
            <w:vAlign w:val="center"/>
            <w:hideMark/>
          </w:tcPr>
          <w:p w:rsidR="00352124" w:rsidRPr="00BD4B00" w:rsidRDefault="00352124" w:rsidP="00BD4B00">
            <w:pPr>
              <w:widowControl/>
              <w:autoSpaceDE/>
              <w:autoSpaceDN/>
              <w:adjustRightInd/>
              <w:spacing w:line="360" w:lineRule="auto"/>
              <w:jc w:val="center"/>
              <w:rPr>
                <w:rFonts w:asciiTheme="majorBidi" w:hAnsiTheme="majorBidi" w:cstheme="majorBidi"/>
                <w:color w:val="000000"/>
                <w:sz w:val="16"/>
                <w:szCs w:val="16"/>
              </w:rPr>
            </w:pPr>
            <w:r w:rsidRPr="00BD4B00">
              <w:rPr>
                <w:rFonts w:asciiTheme="majorBidi" w:hAnsiTheme="majorBidi" w:cstheme="majorBidi"/>
                <w:color w:val="000000"/>
                <w:sz w:val="16"/>
                <w:szCs w:val="16"/>
              </w:rPr>
              <w:t>-20</w:t>
            </w:r>
          </w:p>
        </w:tc>
        <w:tc>
          <w:tcPr>
            <w:tcW w:w="0" w:type="auto"/>
            <w:tcBorders>
              <w:top w:val="nil"/>
              <w:left w:val="nil"/>
              <w:bottom w:val="single" w:sz="4" w:space="0" w:color="auto"/>
              <w:right w:val="single" w:sz="4" w:space="0" w:color="auto"/>
            </w:tcBorders>
            <w:shd w:val="clear" w:color="auto" w:fill="auto"/>
            <w:vAlign w:val="center"/>
            <w:hideMark/>
          </w:tcPr>
          <w:p w:rsidR="00352124" w:rsidRPr="00BD4B00" w:rsidRDefault="00352124" w:rsidP="00BD4B00">
            <w:pPr>
              <w:widowControl/>
              <w:autoSpaceDE/>
              <w:autoSpaceDN/>
              <w:adjustRightInd/>
              <w:spacing w:line="360" w:lineRule="auto"/>
              <w:jc w:val="center"/>
              <w:rPr>
                <w:rFonts w:asciiTheme="majorBidi" w:hAnsiTheme="majorBidi" w:cstheme="majorBidi"/>
                <w:color w:val="000000"/>
                <w:sz w:val="16"/>
                <w:szCs w:val="16"/>
              </w:rPr>
            </w:pPr>
            <w:r w:rsidRPr="00BD4B00">
              <w:rPr>
                <w:rFonts w:asciiTheme="majorBidi" w:hAnsiTheme="majorBidi" w:cstheme="majorBidi"/>
                <w:color w:val="000000"/>
                <w:sz w:val="16"/>
                <w:szCs w:val="16"/>
              </w:rPr>
              <w:t>-20,2</w:t>
            </w:r>
          </w:p>
        </w:tc>
        <w:tc>
          <w:tcPr>
            <w:tcW w:w="0" w:type="auto"/>
            <w:tcBorders>
              <w:top w:val="nil"/>
              <w:left w:val="nil"/>
              <w:bottom w:val="single" w:sz="4" w:space="0" w:color="auto"/>
              <w:right w:val="single" w:sz="4" w:space="0" w:color="auto"/>
            </w:tcBorders>
            <w:shd w:val="clear" w:color="auto" w:fill="auto"/>
            <w:vAlign w:val="center"/>
            <w:hideMark/>
          </w:tcPr>
          <w:p w:rsidR="00352124" w:rsidRPr="00BD4B00" w:rsidRDefault="00352124" w:rsidP="00BD4B00">
            <w:pPr>
              <w:widowControl/>
              <w:autoSpaceDE/>
              <w:autoSpaceDN/>
              <w:adjustRightInd/>
              <w:spacing w:line="360" w:lineRule="auto"/>
              <w:jc w:val="center"/>
              <w:rPr>
                <w:rFonts w:asciiTheme="majorBidi" w:hAnsiTheme="majorBidi" w:cstheme="majorBidi"/>
                <w:color w:val="000000"/>
                <w:sz w:val="16"/>
                <w:szCs w:val="16"/>
              </w:rPr>
            </w:pPr>
            <w:r w:rsidRPr="00BD4B00">
              <w:rPr>
                <w:rFonts w:asciiTheme="majorBidi" w:hAnsiTheme="majorBidi" w:cstheme="majorBidi"/>
                <w:color w:val="000000"/>
                <w:sz w:val="16"/>
                <w:szCs w:val="16"/>
              </w:rPr>
              <w:t>-25,4</w:t>
            </w:r>
          </w:p>
        </w:tc>
        <w:tc>
          <w:tcPr>
            <w:tcW w:w="0" w:type="auto"/>
            <w:tcBorders>
              <w:top w:val="nil"/>
              <w:left w:val="nil"/>
              <w:bottom w:val="single" w:sz="4" w:space="0" w:color="auto"/>
              <w:right w:val="single" w:sz="4" w:space="0" w:color="auto"/>
            </w:tcBorders>
            <w:shd w:val="clear" w:color="auto" w:fill="auto"/>
            <w:vAlign w:val="center"/>
            <w:hideMark/>
          </w:tcPr>
          <w:p w:rsidR="00352124" w:rsidRPr="00BD4B00" w:rsidRDefault="00352124" w:rsidP="00BD4B00">
            <w:pPr>
              <w:widowControl/>
              <w:autoSpaceDE/>
              <w:autoSpaceDN/>
              <w:adjustRightInd/>
              <w:spacing w:line="360" w:lineRule="auto"/>
              <w:jc w:val="center"/>
              <w:rPr>
                <w:rFonts w:asciiTheme="majorBidi" w:hAnsiTheme="majorBidi" w:cstheme="majorBidi"/>
                <w:color w:val="000000"/>
                <w:sz w:val="16"/>
                <w:szCs w:val="16"/>
              </w:rPr>
            </w:pPr>
            <w:r w:rsidRPr="00BD4B00">
              <w:rPr>
                <w:rFonts w:asciiTheme="majorBidi" w:hAnsiTheme="majorBidi" w:cstheme="majorBidi"/>
                <w:color w:val="000000"/>
                <w:sz w:val="16"/>
                <w:szCs w:val="16"/>
              </w:rPr>
              <w:t>-15</w:t>
            </w:r>
          </w:p>
        </w:tc>
        <w:tc>
          <w:tcPr>
            <w:tcW w:w="0" w:type="auto"/>
            <w:tcBorders>
              <w:top w:val="nil"/>
              <w:left w:val="nil"/>
              <w:bottom w:val="single" w:sz="4" w:space="0" w:color="auto"/>
              <w:right w:val="single" w:sz="4" w:space="0" w:color="auto"/>
            </w:tcBorders>
            <w:shd w:val="clear" w:color="auto" w:fill="auto"/>
            <w:vAlign w:val="center"/>
            <w:hideMark/>
          </w:tcPr>
          <w:p w:rsidR="00352124" w:rsidRPr="00BD4B00" w:rsidRDefault="00352124" w:rsidP="00BD4B00">
            <w:pPr>
              <w:widowControl/>
              <w:autoSpaceDE/>
              <w:autoSpaceDN/>
              <w:adjustRightInd/>
              <w:spacing w:line="360" w:lineRule="auto"/>
              <w:jc w:val="center"/>
              <w:rPr>
                <w:rFonts w:asciiTheme="majorBidi" w:hAnsiTheme="majorBidi" w:cstheme="majorBidi"/>
                <w:color w:val="000000"/>
                <w:sz w:val="16"/>
                <w:szCs w:val="16"/>
              </w:rPr>
            </w:pPr>
            <w:r w:rsidRPr="00BD4B00">
              <w:rPr>
                <w:rFonts w:asciiTheme="majorBidi" w:hAnsiTheme="majorBidi" w:cstheme="majorBidi"/>
                <w:color w:val="000000"/>
                <w:sz w:val="16"/>
                <w:szCs w:val="16"/>
              </w:rPr>
              <w:t>-13,3</w:t>
            </w:r>
          </w:p>
        </w:tc>
        <w:tc>
          <w:tcPr>
            <w:tcW w:w="0" w:type="auto"/>
            <w:tcBorders>
              <w:top w:val="nil"/>
              <w:left w:val="nil"/>
              <w:bottom w:val="single" w:sz="4" w:space="0" w:color="auto"/>
              <w:right w:val="single" w:sz="4" w:space="0" w:color="auto"/>
            </w:tcBorders>
            <w:shd w:val="clear" w:color="auto" w:fill="auto"/>
            <w:vAlign w:val="center"/>
            <w:hideMark/>
          </w:tcPr>
          <w:p w:rsidR="00352124" w:rsidRPr="00BD4B00" w:rsidRDefault="00352124" w:rsidP="00BD4B00">
            <w:pPr>
              <w:widowControl/>
              <w:autoSpaceDE/>
              <w:autoSpaceDN/>
              <w:adjustRightInd/>
              <w:spacing w:line="360" w:lineRule="auto"/>
              <w:jc w:val="center"/>
              <w:rPr>
                <w:rFonts w:asciiTheme="majorBidi" w:hAnsiTheme="majorBidi" w:cstheme="majorBidi"/>
                <w:color w:val="000000"/>
                <w:sz w:val="16"/>
                <w:szCs w:val="16"/>
              </w:rPr>
            </w:pPr>
            <w:r w:rsidRPr="00BD4B00">
              <w:rPr>
                <w:rFonts w:asciiTheme="majorBidi" w:hAnsiTheme="majorBidi" w:cstheme="majorBidi"/>
                <w:color w:val="000000"/>
                <w:sz w:val="16"/>
                <w:szCs w:val="16"/>
              </w:rPr>
              <w:t>-9,5</w:t>
            </w:r>
          </w:p>
        </w:tc>
        <w:tc>
          <w:tcPr>
            <w:tcW w:w="0" w:type="auto"/>
            <w:tcBorders>
              <w:top w:val="nil"/>
              <w:left w:val="nil"/>
              <w:bottom w:val="single" w:sz="4" w:space="0" w:color="auto"/>
              <w:right w:val="single" w:sz="4" w:space="0" w:color="auto"/>
            </w:tcBorders>
            <w:shd w:val="clear" w:color="auto" w:fill="auto"/>
            <w:vAlign w:val="center"/>
            <w:hideMark/>
          </w:tcPr>
          <w:p w:rsidR="00352124" w:rsidRPr="00BD4B00" w:rsidRDefault="00352124" w:rsidP="00BD4B00">
            <w:pPr>
              <w:widowControl/>
              <w:autoSpaceDE/>
              <w:autoSpaceDN/>
              <w:adjustRightInd/>
              <w:spacing w:line="360" w:lineRule="auto"/>
              <w:jc w:val="center"/>
              <w:rPr>
                <w:rFonts w:asciiTheme="majorBidi" w:hAnsiTheme="majorBidi" w:cstheme="majorBidi"/>
                <w:color w:val="000000"/>
                <w:sz w:val="16"/>
                <w:szCs w:val="16"/>
              </w:rPr>
            </w:pPr>
            <w:r w:rsidRPr="00BD4B00">
              <w:rPr>
                <w:rFonts w:asciiTheme="majorBidi" w:hAnsiTheme="majorBidi" w:cstheme="majorBidi"/>
                <w:color w:val="000000"/>
                <w:sz w:val="16"/>
                <w:szCs w:val="16"/>
              </w:rPr>
              <w:t>-5,4</w:t>
            </w:r>
          </w:p>
        </w:tc>
        <w:tc>
          <w:tcPr>
            <w:tcW w:w="0" w:type="auto"/>
            <w:tcBorders>
              <w:top w:val="nil"/>
              <w:left w:val="nil"/>
              <w:bottom w:val="single" w:sz="4" w:space="0" w:color="auto"/>
              <w:right w:val="single" w:sz="4" w:space="0" w:color="auto"/>
            </w:tcBorders>
            <w:shd w:val="clear" w:color="auto" w:fill="auto"/>
            <w:vAlign w:val="center"/>
            <w:hideMark/>
          </w:tcPr>
          <w:p w:rsidR="00352124" w:rsidRPr="00BD4B00" w:rsidRDefault="00352124" w:rsidP="00BD4B00">
            <w:pPr>
              <w:widowControl/>
              <w:autoSpaceDE/>
              <w:autoSpaceDN/>
              <w:adjustRightInd/>
              <w:spacing w:line="360" w:lineRule="auto"/>
              <w:jc w:val="center"/>
              <w:rPr>
                <w:rFonts w:asciiTheme="majorBidi" w:hAnsiTheme="majorBidi" w:cstheme="majorBidi"/>
                <w:color w:val="000000"/>
                <w:sz w:val="16"/>
                <w:szCs w:val="16"/>
              </w:rPr>
            </w:pPr>
            <w:r w:rsidRPr="00BD4B00">
              <w:rPr>
                <w:rFonts w:asciiTheme="majorBidi" w:hAnsiTheme="majorBidi" w:cstheme="majorBidi"/>
                <w:color w:val="000000"/>
                <w:sz w:val="16"/>
                <w:szCs w:val="16"/>
              </w:rPr>
              <w:t>-6,2</w:t>
            </w:r>
          </w:p>
        </w:tc>
        <w:tc>
          <w:tcPr>
            <w:tcW w:w="0" w:type="auto"/>
            <w:tcBorders>
              <w:top w:val="nil"/>
              <w:left w:val="nil"/>
              <w:bottom w:val="single" w:sz="4" w:space="0" w:color="auto"/>
              <w:right w:val="single" w:sz="4" w:space="0" w:color="auto"/>
            </w:tcBorders>
            <w:shd w:val="clear" w:color="auto" w:fill="auto"/>
            <w:vAlign w:val="center"/>
            <w:hideMark/>
          </w:tcPr>
          <w:p w:rsidR="00352124" w:rsidRPr="00BD4B00" w:rsidRDefault="00352124" w:rsidP="00BD4B00">
            <w:pPr>
              <w:widowControl/>
              <w:autoSpaceDE/>
              <w:autoSpaceDN/>
              <w:adjustRightInd/>
              <w:spacing w:line="360" w:lineRule="auto"/>
              <w:jc w:val="center"/>
              <w:rPr>
                <w:rFonts w:asciiTheme="majorBidi" w:hAnsiTheme="majorBidi" w:cstheme="majorBidi"/>
                <w:color w:val="000000"/>
                <w:sz w:val="16"/>
                <w:szCs w:val="16"/>
              </w:rPr>
            </w:pPr>
            <w:r w:rsidRPr="00BD4B00">
              <w:rPr>
                <w:rFonts w:asciiTheme="majorBidi" w:hAnsiTheme="majorBidi" w:cstheme="majorBidi"/>
                <w:color w:val="000000"/>
                <w:sz w:val="16"/>
                <w:szCs w:val="16"/>
              </w:rPr>
              <w:t>-3,8</w:t>
            </w:r>
          </w:p>
        </w:tc>
        <w:tc>
          <w:tcPr>
            <w:tcW w:w="0" w:type="auto"/>
            <w:tcBorders>
              <w:top w:val="nil"/>
              <w:left w:val="nil"/>
              <w:bottom w:val="single" w:sz="4" w:space="0" w:color="auto"/>
              <w:right w:val="single" w:sz="4" w:space="0" w:color="auto"/>
            </w:tcBorders>
            <w:shd w:val="clear" w:color="auto" w:fill="auto"/>
            <w:vAlign w:val="center"/>
            <w:hideMark/>
          </w:tcPr>
          <w:p w:rsidR="00352124" w:rsidRPr="00BD4B00" w:rsidRDefault="00352124" w:rsidP="00BD4B00">
            <w:pPr>
              <w:widowControl/>
              <w:autoSpaceDE/>
              <w:autoSpaceDN/>
              <w:adjustRightInd/>
              <w:spacing w:line="360" w:lineRule="auto"/>
              <w:jc w:val="center"/>
              <w:rPr>
                <w:rFonts w:asciiTheme="majorBidi" w:hAnsiTheme="majorBidi" w:cstheme="majorBidi"/>
                <w:color w:val="000000"/>
                <w:sz w:val="16"/>
                <w:szCs w:val="16"/>
              </w:rPr>
            </w:pPr>
            <w:r w:rsidRPr="00BD4B00">
              <w:rPr>
                <w:rFonts w:asciiTheme="majorBidi" w:hAnsiTheme="majorBidi" w:cstheme="majorBidi"/>
                <w:color w:val="000000"/>
                <w:sz w:val="16"/>
                <w:szCs w:val="16"/>
              </w:rPr>
              <w:t>-3,1</w:t>
            </w:r>
          </w:p>
        </w:tc>
        <w:tc>
          <w:tcPr>
            <w:tcW w:w="0" w:type="auto"/>
            <w:tcBorders>
              <w:top w:val="nil"/>
              <w:left w:val="nil"/>
              <w:bottom w:val="single" w:sz="4" w:space="0" w:color="auto"/>
              <w:right w:val="single" w:sz="4" w:space="0" w:color="auto"/>
            </w:tcBorders>
            <w:shd w:val="clear" w:color="auto" w:fill="auto"/>
            <w:vAlign w:val="center"/>
            <w:hideMark/>
          </w:tcPr>
          <w:p w:rsidR="00352124" w:rsidRPr="00BD4B00" w:rsidRDefault="00352124" w:rsidP="00BD4B00">
            <w:pPr>
              <w:widowControl/>
              <w:autoSpaceDE/>
              <w:autoSpaceDN/>
              <w:adjustRightInd/>
              <w:spacing w:line="360" w:lineRule="auto"/>
              <w:jc w:val="center"/>
              <w:rPr>
                <w:rFonts w:asciiTheme="majorBidi" w:hAnsiTheme="majorBidi" w:cstheme="majorBidi"/>
                <w:color w:val="000000"/>
                <w:sz w:val="16"/>
                <w:szCs w:val="16"/>
              </w:rPr>
            </w:pPr>
            <w:r w:rsidRPr="00BD4B00">
              <w:rPr>
                <w:rFonts w:asciiTheme="majorBidi" w:hAnsiTheme="majorBidi" w:cstheme="majorBidi"/>
                <w:color w:val="000000"/>
                <w:sz w:val="16"/>
                <w:szCs w:val="16"/>
              </w:rPr>
              <w:t>-8,1</w:t>
            </w:r>
          </w:p>
        </w:tc>
        <w:tc>
          <w:tcPr>
            <w:tcW w:w="0" w:type="auto"/>
            <w:tcBorders>
              <w:top w:val="nil"/>
              <w:left w:val="nil"/>
              <w:bottom w:val="single" w:sz="4" w:space="0" w:color="auto"/>
              <w:right w:val="single" w:sz="4" w:space="0" w:color="auto"/>
            </w:tcBorders>
            <w:shd w:val="clear" w:color="auto" w:fill="auto"/>
            <w:vAlign w:val="center"/>
            <w:hideMark/>
          </w:tcPr>
          <w:p w:rsidR="00352124" w:rsidRPr="00BD4B00" w:rsidRDefault="00352124" w:rsidP="00BD4B00">
            <w:pPr>
              <w:widowControl/>
              <w:autoSpaceDE/>
              <w:autoSpaceDN/>
              <w:adjustRightInd/>
              <w:spacing w:line="360" w:lineRule="auto"/>
              <w:jc w:val="center"/>
              <w:rPr>
                <w:rFonts w:asciiTheme="majorBidi" w:hAnsiTheme="majorBidi" w:cstheme="majorBidi"/>
                <w:color w:val="000000"/>
                <w:sz w:val="16"/>
                <w:szCs w:val="16"/>
              </w:rPr>
            </w:pPr>
            <w:r w:rsidRPr="00BD4B00">
              <w:rPr>
                <w:rFonts w:asciiTheme="majorBidi" w:hAnsiTheme="majorBidi" w:cstheme="majorBidi"/>
                <w:color w:val="000000"/>
                <w:sz w:val="16"/>
                <w:szCs w:val="16"/>
              </w:rPr>
              <w:t>-12</w:t>
            </w:r>
          </w:p>
        </w:tc>
        <w:tc>
          <w:tcPr>
            <w:tcW w:w="0" w:type="auto"/>
            <w:tcBorders>
              <w:top w:val="nil"/>
              <w:left w:val="nil"/>
              <w:bottom w:val="single" w:sz="4" w:space="0" w:color="auto"/>
              <w:right w:val="single" w:sz="4" w:space="0" w:color="auto"/>
            </w:tcBorders>
            <w:shd w:val="clear" w:color="auto" w:fill="auto"/>
            <w:vAlign w:val="center"/>
            <w:hideMark/>
          </w:tcPr>
          <w:p w:rsidR="00352124" w:rsidRPr="00BD4B00" w:rsidRDefault="00352124" w:rsidP="00BD4B00">
            <w:pPr>
              <w:widowControl/>
              <w:autoSpaceDE/>
              <w:autoSpaceDN/>
              <w:adjustRightInd/>
              <w:spacing w:line="360" w:lineRule="auto"/>
              <w:jc w:val="center"/>
              <w:rPr>
                <w:rFonts w:asciiTheme="majorBidi" w:hAnsiTheme="majorBidi" w:cstheme="majorBidi"/>
                <w:color w:val="000000"/>
                <w:sz w:val="16"/>
                <w:szCs w:val="16"/>
              </w:rPr>
            </w:pPr>
            <w:r w:rsidRPr="00BD4B00">
              <w:rPr>
                <w:rFonts w:asciiTheme="majorBidi" w:hAnsiTheme="majorBidi" w:cstheme="majorBidi"/>
                <w:color w:val="000000"/>
                <w:sz w:val="16"/>
                <w:szCs w:val="16"/>
              </w:rPr>
              <w:t>-17,5</w:t>
            </w:r>
          </w:p>
        </w:tc>
        <w:tc>
          <w:tcPr>
            <w:tcW w:w="0" w:type="auto"/>
            <w:tcBorders>
              <w:top w:val="nil"/>
              <w:left w:val="nil"/>
              <w:bottom w:val="single" w:sz="4" w:space="0" w:color="auto"/>
              <w:right w:val="single" w:sz="4" w:space="0" w:color="auto"/>
            </w:tcBorders>
            <w:shd w:val="clear" w:color="auto" w:fill="auto"/>
            <w:vAlign w:val="center"/>
            <w:hideMark/>
          </w:tcPr>
          <w:p w:rsidR="00352124" w:rsidRPr="00BD4B00" w:rsidRDefault="00352124" w:rsidP="00BD4B00">
            <w:pPr>
              <w:widowControl/>
              <w:autoSpaceDE/>
              <w:autoSpaceDN/>
              <w:adjustRightInd/>
              <w:spacing w:line="360" w:lineRule="auto"/>
              <w:jc w:val="center"/>
              <w:rPr>
                <w:rFonts w:asciiTheme="majorBidi" w:hAnsiTheme="majorBidi" w:cstheme="majorBidi"/>
                <w:color w:val="000000"/>
                <w:sz w:val="16"/>
                <w:szCs w:val="16"/>
              </w:rPr>
            </w:pPr>
            <w:r w:rsidRPr="00BD4B00">
              <w:rPr>
                <w:rFonts w:asciiTheme="majorBidi" w:hAnsiTheme="majorBidi" w:cstheme="majorBidi"/>
                <w:color w:val="000000"/>
                <w:sz w:val="16"/>
                <w:szCs w:val="16"/>
              </w:rPr>
              <w:t>-17,4</w:t>
            </w:r>
          </w:p>
        </w:tc>
        <w:tc>
          <w:tcPr>
            <w:tcW w:w="0" w:type="auto"/>
            <w:tcBorders>
              <w:top w:val="nil"/>
              <w:left w:val="nil"/>
              <w:bottom w:val="single" w:sz="4" w:space="0" w:color="auto"/>
              <w:right w:val="single" w:sz="4" w:space="0" w:color="auto"/>
            </w:tcBorders>
            <w:shd w:val="clear" w:color="auto" w:fill="auto"/>
            <w:vAlign w:val="center"/>
            <w:hideMark/>
          </w:tcPr>
          <w:p w:rsidR="00352124" w:rsidRPr="00BD4B00" w:rsidRDefault="00352124" w:rsidP="00BD4B00">
            <w:pPr>
              <w:widowControl/>
              <w:autoSpaceDE/>
              <w:autoSpaceDN/>
              <w:adjustRightInd/>
              <w:spacing w:line="360" w:lineRule="auto"/>
              <w:jc w:val="center"/>
              <w:rPr>
                <w:rFonts w:asciiTheme="majorBidi" w:hAnsiTheme="majorBidi" w:cstheme="majorBidi"/>
                <w:color w:val="000000"/>
                <w:sz w:val="16"/>
                <w:szCs w:val="16"/>
              </w:rPr>
            </w:pPr>
            <w:r w:rsidRPr="00BD4B00">
              <w:rPr>
                <w:rFonts w:asciiTheme="majorBidi" w:hAnsiTheme="majorBidi" w:cstheme="majorBidi"/>
                <w:color w:val="000000"/>
                <w:sz w:val="16"/>
                <w:szCs w:val="16"/>
              </w:rPr>
              <w:t>-15,2</w:t>
            </w:r>
          </w:p>
        </w:tc>
        <w:tc>
          <w:tcPr>
            <w:tcW w:w="0" w:type="auto"/>
            <w:tcBorders>
              <w:top w:val="nil"/>
              <w:left w:val="nil"/>
              <w:bottom w:val="single" w:sz="4" w:space="0" w:color="auto"/>
              <w:right w:val="single" w:sz="4" w:space="0" w:color="auto"/>
            </w:tcBorders>
            <w:shd w:val="clear" w:color="auto" w:fill="auto"/>
            <w:vAlign w:val="center"/>
            <w:hideMark/>
          </w:tcPr>
          <w:p w:rsidR="00352124" w:rsidRPr="00BD4B00" w:rsidRDefault="00352124" w:rsidP="00BD4B00">
            <w:pPr>
              <w:widowControl/>
              <w:autoSpaceDE/>
              <w:autoSpaceDN/>
              <w:adjustRightInd/>
              <w:spacing w:line="360" w:lineRule="auto"/>
              <w:jc w:val="center"/>
              <w:rPr>
                <w:rFonts w:asciiTheme="majorBidi" w:hAnsiTheme="majorBidi" w:cstheme="majorBidi"/>
                <w:color w:val="000000"/>
                <w:sz w:val="16"/>
                <w:szCs w:val="16"/>
              </w:rPr>
            </w:pPr>
            <w:r w:rsidRPr="00BD4B00">
              <w:rPr>
                <w:rFonts w:asciiTheme="majorBidi" w:hAnsiTheme="majorBidi" w:cstheme="majorBidi"/>
                <w:color w:val="000000"/>
                <w:sz w:val="16"/>
                <w:szCs w:val="16"/>
              </w:rPr>
              <w:t>-22,9</w:t>
            </w:r>
          </w:p>
        </w:tc>
        <w:tc>
          <w:tcPr>
            <w:tcW w:w="0" w:type="auto"/>
            <w:tcBorders>
              <w:top w:val="nil"/>
              <w:left w:val="nil"/>
              <w:bottom w:val="single" w:sz="4" w:space="0" w:color="auto"/>
              <w:right w:val="single" w:sz="4" w:space="0" w:color="auto"/>
            </w:tcBorders>
            <w:shd w:val="clear" w:color="auto" w:fill="auto"/>
            <w:vAlign w:val="center"/>
            <w:hideMark/>
          </w:tcPr>
          <w:p w:rsidR="00352124" w:rsidRPr="00BD4B00" w:rsidRDefault="00352124" w:rsidP="00BD4B00">
            <w:pPr>
              <w:widowControl/>
              <w:autoSpaceDE/>
              <w:autoSpaceDN/>
              <w:bidi/>
              <w:adjustRightInd/>
              <w:spacing w:line="360" w:lineRule="auto"/>
              <w:rPr>
                <w:rFonts w:asciiTheme="majorBidi" w:hAnsiTheme="majorBidi" w:cstheme="majorBidi"/>
                <w:b/>
                <w:bCs/>
                <w:color w:val="000000"/>
                <w:sz w:val="16"/>
                <w:szCs w:val="16"/>
              </w:rPr>
            </w:pPr>
            <w:r w:rsidRPr="00BD4B00">
              <w:rPr>
                <w:rFonts w:asciiTheme="majorBidi" w:hAnsiTheme="majorBidi" w:cstheme="majorBidi"/>
                <w:b/>
                <w:bCs/>
                <w:color w:val="000000"/>
                <w:sz w:val="16"/>
                <w:szCs w:val="16"/>
                <w:rtl/>
              </w:rPr>
              <w:t>التطور السابق لمستوى المعيشة بصفة عامة</w:t>
            </w:r>
          </w:p>
        </w:tc>
      </w:tr>
      <w:tr w:rsidR="00696211" w:rsidRPr="00BD4B00" w:rsidTr="00BD4B00">
        <w:trPr>
          <w:trHeight w:val="888"/>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352124" w:rsidRPr="00BD4B00" w:rsidRDefault="00352124" w:rsidP="00BD4B00">
            <w:pPr>
              <w:widowControl/>
              <w:autoSpaceDE/>
              <w:autoSpaceDN/>
              <w:adjustRightInd/>
              <w:spacing w:line="360" w:lineRule="auto"/>
              <w:jc w:val="center"/>
              <w:rPr>
                <w:rFonts w:asciiTheme="majorBidi" w:hAnsiTheme="majorBidi" w:cstheme="majorBidi"/>
                <w:color w:val="000000"/>
                <w:sz w:val="16"/>
                <w:szCs w:val="16"/>
              </w:rPr>
            </w:pPr>
            <w:r w:rsidRPr="00BD4B00">
              <w:rPr>
                <w:rFonts w:asciiTheme="majorBidi" w:hAnsiTheme="majorBidi" w:cstheme="majorBidi"/>
                <w:color w:val="000000"/>
                <w:sz w:val="16"/>
                <w:szCs w:val="16"/>
              </w:rPr>
              <w:t>-43,0</w:t>
            </w:r>
          </w:p>
        </w:tc>
        <w:tc>
          <w:tcPr>
            <w:tcW w:w="590" w:type="dxa"/>
            <w:tcBorders>
              <w:top w:val="nil"/>
              <w:left w:val="nil"/>
              <w:bottom w:val="single" w:sz="4" w:space="0" w:color="auto"/>
              <w:right w:val="single" w:sz="4" w:space="0" w:color="auto"/>
            </w:tcBorders>
            <w:shd w:val="clear" w:color="auto" w:fill="auto"/>
            <w:vAlign w:val="center"/>
            <w:hideMark/>
          </w:tcPr>
          <w:p w:rsidR="00352124" w:rsidRPr="00BD4B00" w:rsidRDefault="00352124" w:rsidP="00BD4B00">
            <w:pPr>
              <w:widowControl/>
              <w:autoSpaceDE/>
              <w:autoSpaceDN/>
              <w:adjustRightInd/>
              <w:spacing w:line="360" w:lineRule="auto"/>
              <w:jc w:val="center"/>
              <w:rPr>
                <w:rFonts w:asciiTheme="majorBidi" w:hAnsiTheme="majorBidi" w:cstheme="majorBidi"/>
                <w:color w:val="000000"/>
                <w:sz w:val="16"/>
                <w:szCs w:val="16"/>
              </w:rPr>
            </w:pPr>
            <w:r w:rsidRPr="00BD4B00">
              <w:rPr>
                <w:rFonts w:asciiTheme="majorBidi" w:hAnsiTheme="majorBidi" w:cstheme="majorBidi"/>
                <w:color w:val="000000"/>
                <w:sz w:val="16"/>
                <w:szCs w:val="16"/>
              </w:rPr>
              <w:t>-41,6</w:t>
            </w:r>
          </w:p>
        </w:tc>
        <w:tc>
          <w:tcPr>
            <w:tcW w:w="0" w:type="auto"/>
            <w:tcBorders>
              <w:top w:val="nil"/>
              <w:left w:val="nil"/>
              <w:bottom w:val="single" w:sz="4" w:space="0" w:color="auto"/>
              <w:right w:val="single" w:sz="4" w:space="0" w:color="auto"/>
            </w:tcBorders>
            <w:shd w:val="clear" w:color="auto" w:fill="auto"/>
            <w:vAlign w:val="center"/>
            <w:hideMark/>
          </w:tcPr>
          <w:p w:rsidR="00352124" w:rsidRPr="00BD4B00" w:rsidRDefault="00352124" w:rsidP="00BD4B00">
            <w:pPr>
              <w:widowControl/>
              <w:autoSpaceDE/>
              <w:autoSpaceDN/>
              <w:adjustRightInd/>
              <w:spacing w:line="360" w:lineRule="auto"/>
              <w:jc w:val="center"/>
              <w:rPr>
                <w:rFonts w:asciiTheme="majorBidi" w:hAnsiTheme="majorBidi" w:cstheme="majorBidi"/>
                <w:color w:val="000000"/>
                <w:sz w:val="16"/>
                <w:szCs w:val="16"/>
              </w:rPr>
            </w:pPr>
            <w:r w:rsidRPr="00BD4B00">
              <w:rPr>
                <w:rFonts w:asciiTheme="majorBidi" w:hAnsiTheme="majorBidi" w:cstheme="majorBidi"/>
                <w:color w:val="000000"/>
                <w:sz w:val="16"/>
                <w:szCs w:val="16"/>
              </w:rPr>
              <w:t>-34,3</w:t>
            </w:r>
          </w:p>
        </w:tc>
        <w:tc>
          <w:tcPr>
            <w:tcW w:w="0" w:type="auto"/>
            <w:tcBorders>
              <w:top w:val="nil"/>
              <w:left w:val="nil"/>
              <w:bottom w:val="single" w:sz="4" w:space="0" w:color="auto"/>
              <w:right w:val="single" w:sz="4" w:space="0" w:color="auto"/>
            </w:tcBorders>
            <w:shd w:val="clear" w:color="auto" w:fill="auto"/>
            <w:vAlign w:val="center"/>
            <w:hideMark/>
          </w:tcPr>
          <w:p w:rsidR="00352124" w:rsidRPr="00BD4B00" w:rsidRDefault="00352124" w:rsidP="00BD4B00">
            <w:pPr>
              <w:widowControl/>
              <w:autoSpaceDE/>
              <w:autoSpaceDN/>
              <w:adjustRightInd/>
              <w:spacing w:line="360" w:lineRule="auto"/>
              <w:jc w:val="center"/>
              <w:rPr>
                <w:rFonts w:asciiTheme="majorBidi" w:hAnsiTheme="majorBidi" w:cstheme="majorBidi"/>
                <w:color w:val="000000"/>
                <w:sz w:val="16"/>
                <w:szCs w:val="16"/>
              </w:rPr>
            </w:pPr>
            <w:r w:rsidRPr="00BD4B00">
              <w:rPr>
                <w:rFonts w:asciiTheme="majorBidi" w:hAnsiTheme="majorBidi" w:cstheme="majorBidi"/>
                <w:color w:val="000000"/>
                <w:sz w:val="16"/>
                <w:szCs w:val="16"/>
              </w:rPr>
              <w:t>-21,4</w:t>
            </w:r>
          </w:p>
        </w:tc>
        <w:tc>
          <w:tcPr>
            <w:tcW w:w="0" w:type="auto"/>
            <w:tcBorders>
              <w:top w:val="nil"/>
              <w:left w:val="nil"/>
              <w:bottom w:val="single" w:sz="4" w:space="0" w:color="auto"/>
              <w:right w:val="single" w:sz="4" w:space="0" w:color="auto"/>
            </w:tcBorders>
            <w:shd w:val="clear" w:color="auto" w:fill="auto"/>
            <w:vAlign w:val="center"/>
            <w:hideMark/>
          </w:tcPr>
          <w:p w:rsidR="00352124" w:rsidRPr="00BD4B00" w:rsidRDefault="00352124" w:rsidP="00BD4B00">
            <w:pPr>
              <w:widowControl/>
              <w:autoSpaceDE/>
              <w:autoSpaceDN/>
              <w:adjustRightInd/>
              <w:spacing w:line="360" w:lineRule="auto"/>
              <w:jc w:val="center"/>
              <w:rPr>
                <w:rFonts w:asciiTheme="majorBidi" w:hAnsiTheme="majorBidi" w:cstheme="majorBidi"/>
                <w:color w:val="000000"/>
                <w:sz w:val="16"/>
                <w:szCs w:val="16"/>
              </w:rPr>
            </w:pPr>
            <w:r w:rsidRPr="00BD4B00">
              <w:rPr>
                <w:rFonts w:asciiTheme="majorBidi" w:hAnsiTheme="majorBidi" w:cstheme="majorBidi"/>
                <w:color w:val="000000"/>
                <w:sz w:val="16"/>
                <w:szCs w:val="16"/>
              </w:rPr>
              <w:t>-1,4</w:t>
            </w:r>
          </w:p>
        </w:tc>
        <w:tc>
          <w:tcPr>
            <w:tcW w:w="0" w:type="auto"/>
            <w:tcBorders>
              <w:top w:val="nil"/>
              <w:left w:val="nil"/>
              <w:bottom w:val="single" w:sz="4" w:space="0" w:color="auto"/>
              <w:right w:val="single" w:sz="4" w:space="0" w:color="auto"/>
            </w:tcBorders>
            <w:shd w:val="clear" w:color="auto" w:fill="auto"/>
            <w:vAlign w:val="center"/>
            <w:hideMark/>
          </w:tcPr>
          <w:p w:rsidR="00352124" w:rsidRPr="00BD4B00" w:rsidRDefault="00352124" w:rsidP="00BD4B00">
            <w:pPr>
              <w:widowControl/>
              <w:autoSpaceDE/>
              <w:autoSpaceDN/>
              <w:adjustRightInd/>
              <w:spacing w:line="360" w:lineRule="auto"/>
              <w:jc w:val="center"/>
              <w:rPr>
                <w:rFonts w:asciiTheme="majorBidi" w:hAnsiTheme="majorBidi" w:cstheme="majorBidi"/>
                <w:color w:val="000000"/>
                <w:sz w:val="16"/>
                <w:szCs w:val="16"/>
              </w:rPr>
            </w:pPr>
            <w:r w:rsidRPr="00BD4B00">
              <w:rPr>
                <w:rFonts w:asciiTheme="majorBidi" w:hAnsiTheme="majorBidi" w:cstheme="majorBidi"/>
                <w:color w:val="000000"/>
                <w:sz w:val="16"/>
                <w:szCs w:val="16"/>
              </w:rPr>
              <w:t>9,3</w:t>
            </w:r>
          </w:p>
        </w:tc>
        <w:tc>
          <w:tcPr>
            <w:tcW w:w="0" w:type="auto"/>
            <w:tcBorders>
              <w:top w:val="nil"/>
              <w:left w:val="nil"/>
              <w:bottom w:val="single" w:sz="4" w:space="0" w:color="auto"/>
              <w:right w:val="single" w:sz="4" w:space="0" w:color="auto"/>
            </w:tcBorders>
            <w:shd w:val="clear" w:color="auto" w:fill="auto"/>
            <w:vAlign w:val="center"/>
            <w:hideMark/>
          </w:tcPr>
          <w:p w:rsidR="00352124" w:rsidRPr="00BD4B00" w:rsidRDefault="00352124" w:rsidP="00BD4B00">
            <w:pPr>
              <w:widowControl/>
              <w:autoSpaceDE/>
              <w:autoSpaceDN/>
              <w:adjustRightInd/>
              <w:spacing w:line="360" w:lineRule="auto"/>
              <w:jc w:val="center"/>
              <w:rPr>
                <w:rFonts w:asciiTheme="majorBidi" w:hAnsiTheme="majorBidi" w:cstheme="majorBidi"/>
                <w:color w:val="000000"/>
                <w:sz w:val="16"/>
                <w:szCs w:val="16"/>
              </w:rPr>
            </w:pPr>
            <w:r w:rsidRPr="00BD4B00">
              <w:rPr>
                <w:rFonts w:asciiTheme="majorBidi" w:hAnsiTheme="majorBidi" w:cstheme="majorBidi"/>
                <w:color w:val="000000"/>
                <w:sz w:val="16"/>
                <w:szCs w:val="16"/>
              </w:rPr>
              <w:t>0,2</w:t>
            </w:r>
          </w:p>
        </w:tc>
        <w:tc>
          <w:tcPr>
            <w:tcW w:w="0" w:type="auto"/>
            <w:tcBorders>
              <w:top w:val="nil"/>
              <w:left w:val="nil"/>
              <w:bottom w:val="single" w:sz="4" w:space="0" w:color="auto"/>
              <w:right w:val="single" w:sz="4" w:space="0" w:color="auto"/>
            </w:tcBorders>
            <w:shd w:val="clear" w:color="auto" w:fill="auto"/>
            <w:vAlign w:val="center"/>
            <w:hideMark/>
          </w:tcPr>
          <w:p w:rsidR="00352124" w:rsidRPr="00BD4B00" w:rsidRDefault="00352124" w:rsidP="00BD4B00">
            <w:pPr>
              <w:widowControl/>
              <w:autoSpaceDE/>
              <w:autoSpaceDN/>
              <w:adjustRightInd/>
              <w:spacing w:line="360" w:lineRule="auto"/>
              <w:jc w:val="center"/>
              <w:rPr>
                <w:rFonts w:asciiTheme="majorBidi" w:hAnsiTheme="majorBidi" w:cstheme="majorBidi"/>
                <w:color w:val="000000"/>
                <w:sz w:val="16"/>
                <w:szCs w:val="16"/>
              </w:rPr>
            </w:pPr>
            <w:r w:rsidRPr="00BD4B00">
              <w:rPr>
                <w:rFonts w:asciiTheme="majorBidi" w:hAnsiTheme="majorBidi" w:cstheme="majorBidi"/>
                <w:color w:val="000000"/>
                <w:sz w:val="16"/>
                <w:szCs w:val="16"/>
              </w:rPr>
              <w:t>13,2</w:t>
            </w:r>
          </w:p>
        </w:tc>
        <w:tc>
          <w:tcPr>
            <w:tcW w:w="0" w:type="auto"/>
            <w:tcBorders>
              <w:top w:val="nil"/>
              <w:left w:val="nil"/>
              <w:bottom w:val="single" w:sz="4" w:space="0" w:color="auto"/>
              <w:right w:val="single" w:sz="4" w:space="0" w:color="auto"/>
            </w:tcBorders>
            <w:shd w:val="clear" w:color="auto" w:fill="auto"/>
            <w:vAlign w:val="center"/>
            <w:hideMark/>
          </w:tcPr>
          <w:p w:rsidR="00352124" w:rsidRPr="00BD4B00" w:rsidRDefault="00352124" w:rsidP="00BD4B00">
            <w:pPr>
              <w:widowControl/>
              <w:autoSpaceDE/>
              <w:autoSpaceDN/>
              <w:adjustRightInd/>
              <w:spacing w:line="360" w:lineRule="auto"/>
              <w:jc w:val="center"/>
              <w:rPr>
                <w:rFonts w:asciiTheme="majorBidi" w:hAnsiTheme="majorBidi" w:cstheme="majorBidi"/>
                <w:color w:val="000000"/>
                <w:sz w:val="16"/>
                <w:szCs w:val="16"/>
              </w:rPr>
            </w:pPr>
            <w:r w:rsidRPr="00BD4B00">
              <w:rPr>
                <w:rFonts w:asciiTheme="majorBidi" w:hAnsiTheme="majorBidi" w:cstheme="majorBidi"/>
                <w:color w:val="000000"/>
                <w:sz w:val="16"/>
                <w:szCs w:val="16"/>
              </w:rPr>
              <w:t>-17,4</w:t>
            </w:r>
          </w:p>
        </w:tc>
        <w:tc>
          <w:tcPr>
            <w:tcW w:w="0" w:type="auto"/>
            <w:tcBorders>
              <w:top w:val="nil"/>
              <w:left w:val="nil"/>
              <w:bottom w:val="single" w:sz="4" w:space="0" w:color="auto"/>
              <w:right w:val="single" w:sz="4" w:space="0" w:color="auto"/>
            </w:tcBorders>
            <w:shd w:val="clear" w:color="auto" w:fill="auto"/>
            <w:vAlign w:val="center"/>
            <w:hideMark/>
          </w:tcPr>
          <w:p w:rsidR="00352124" w:rsidRPr="00BD4B00" w:rsidRDefault="00352124" w:rsidP="00BD4B00">
            <w:pPr>
              <w:widowControl/>
              <w:autoSpaceDE/>
              <w:autoSpaceDN/>
              <w:adjustRightInd/>
              <w:spacing w:line="360" w:lineRule="auto"/>
              <w:jc w:val="center"/>
              <w:rPr>
                <w:rFonts w:asciiTheme="majorBidi" w:hAnsiTheme="majorBidi" w:cstheme="majorBidi"/>
                <w:color w:val="000000"/>
                <w:sz w:val="16"/>
                <w:szCs w:val="16"/>
              </w:rPr>
            </w:pPr>
            <w:r w:rsidRPr="00BD4B00">
              <w:rPr>
                <w:rFonts w:asciiTheme="majorBidi" w:hAnsiTheme="majorBidi" w:cstheme="majorBidi"/>
                <w:color w:val="000000"/>
                <w:sz w:val="16"/>
                <w:szCs w:val="16"/>
              </w:rPr>
              <w:t>-17,4</w:t>
            </w:r>
          </w:p>
        </w:tc>
        <w:tc>
          <w:tcPr>
            <w:tcW w:w="0" w:type="auto"/>
            <w:tcBorders>
              <w:top w:val="nil"/>
              <w:left w:val="nil"/>
              <w:bottom w:val="single" w:sz="4" w:space="0" w:color="auto"/>
              <w:right w:val="single" w:sz="4" w:space="0" w:color="auto"/>
            </w:tcBorders>
            <w:shd w:val="clear" w:color="auto" w:fill="auto"/>
            <w:vAlign w:val="center"/>
            <w:hideMark/>
          </w:tcPr>
          <w:p w:rsidR="00352124" w:rsidRPr="00BD4B00" w:rsidRDefault="00352124" w:rsidP="00BD4B00">
            <w:pPr>
              <w:widowControl/>
              <w:autoSpaceDE/>
              <w:autoSpaceDN/>
              <w:adjustRightInd/>
              <w:spacing w:line="360" w:lineRule="auto"/>
              <w:jc w:val="center"/>
              <w:rPr>
                <w:rFonts w:asciiTheme="majorBidi" w:hAnsiTheme="majorBidi" w:cstheme="majorBidi"/>
                <w:color w:val="000000"/>
                <w:sz w:val="16"/>
                <w:szCs w:val="16"/>
              </w:rPr>
            </w:pPr>
            <w:r w:rsidRPr="00BD4B00">
              <w:rPr>
                <w:rFonts w:asciiTheme="majorBidi" w:hAnsiTheme="majorBidi" w:cstheme="majorBidi"/>
                <w:color w:val="000000"/>
                <w:sz w:val="16"/>
                <w:szCs w:val="16"/>
              </w:rPr>
              <w:t>-11,4</w:t>
            </w:r>
          </w:p>
        </w:tc>
        <w:tc>
          <w:tcPr>
            <w:tcW w:w="0" w:type="auto"/>
            <w:tcBorders>
              <w:top w:val="nil"/>
              <w:left w:val="nil"/>
              <w:bottom w:val="single" w:sz="4" w:space="0" w:color="auto"/>
              <w:right w:val="single" w:sz="4" w:space="0" w:color="auto"/>
            </w:tcBorders>
            <w:shd w:val="clear" w:color="auto" w:fill="auto"/>
            <w:vAlign w:val="center"/>
            <w:hideMark/>
          </w:tcPr>
          <w:p w:rsidR="00352124" w:rsidRPr="00BD4B00" w:rsidRDefault="00352124" w:rsidP="00BD4B00">
            <w:pPr>
              <w:widowControl/>
              <w:autoSpaceDE/>
              <w:autoSpaceDN/>
              <w:adjustRightInd/>
              <w:spacing w:line="360" w:lineRule="auto"/>
              <w:jc w:val="center"/>
              <w:rPr>
                <w:rFonts w:asciiTheme="majorBidi" w:hAnsiTheme="majorBidi" w:cstheme="majorBidi"/>
                <w:color w:val="000000"/>
                <w:sz w:val="16"/>
                <w:szCs w:val="16"/>
              </w:rPr>
            </w:pPr>
            <w:r w:rsidRPr="00BD4B00">
              <w:rPr>
                <w:rFonts w:asciiTheme="majorBidi" w:hAnsiTheme="majorBidi" w:cstheme="majorBidi"/>
                <w:color w:val="000000"/>
                <w:sz w:val="16"/>
                <w:szCs w:val="16"/>
              </w:rPr>
              <w:t>-4,6</w:t>
            </w:r>
          </w:p>
        </w:tc>
        <w:tc>
          <w:tcPr>
            <w:tcW w:w="0" w:type="auto"/>
            <w:tcBorders>
              <w:top w:val="nil"/>
              <w:left w:val="nil"/>
              <w:bottom w:val="single" w:sz="4" w:space="0" w:color="auto"/>
              <w:right w:val="single" w:sz="4" w:space="0" w:color="auto"/>
            </w:tcBorders>
            <w:shd w:val="clear" w:color="auto" w:fill="auto"/>
            <w:vAlign w:val="center"/>
            <w:hideMark/>
          </w:tcPr>
          <w:p w:rsidR="00352124" w:rsidRPr="00BD4B00" w:rsidRDefault="00352124" w:rsidP="00BD4B00">
            <w:pPr>
              <w:widowControl/>
              <w:autoSpaceDE/>
              <w:autoSpaceDN/>
              <w:adjustRightInd/>
              <w:spacing w:line="360" w:lineRule="auto"/>
              <w:jc w:val="center"/>
              <w:rPr>
                <w:rFonts w:asciiTheme="majorBidi" w:hAnsiTheme="majorBidi" w:cstheme="majorBidi"/>
                <w:color w:val="000000"/>
                <w:sz w:val="16"/>
                <w:szCs w:val="16"/>
              </w:rPr>
            </w:pPr>
            <w:r w:rsidRPr="00BD4B00">
              <w:rPr>
                <w:rFonts w:asciiTheme="majorBidi" w:hAnsiTheme="majorBidi" w:cstheme="majorBidi"/>
                <w:color w:val="000000"/>
                <w:sz w:val="16"/>
                <w:szCs w:val="16"/>
              </w:rPr>
              <w:t>-2,2</w:t>
            </w:r>
          </w:p>
        </w:tc>
        <w:tc>
          <w:tcPr>
            <w:tcW w:w="0" w:type="auto"/>
            <w:tcBorders>
              <w:top w:val="nil"/>
              <w:left w:val="nil"/>
              <w:bottom w:val="single" w:sz="4" w:space="0" w:color="auto"/>
              <w:right w:val="single" w:sz="4" w:space="0" w:color="auto"/>
            </w:tcBorders>
            <w:shd w:val="clear" w:color="auto" w:fill="auto"/>
            <w:vAlign w:val="center"/>
            <w:hideMark/>
          </w:tcPr>
          <w:p w:rsidR="00352124" w:rsidRPr="00BD4B00" w:rsidRDefault="00352124" w:rsidP="00BD4B00">
            <w:pPr>
              <w:widowControl/>
              <w:autoSpaceDE/>
              <w:autoSpaceDN/>
              <w:adjustRightInd/>
              <w:spacing w:line="360" w:lineRule="auto"/>
              <w:jc w:val="center"/>
              <w:rPr>
                <w:rFonts w:asciiTheme="majorBidi" w:hAnsiTheme="majorBidi" w:cstheme="majorBidi"/>
                <w:color w:val="000000"/>
                <w:sz w:val="16"/>
                <w:szCs w:val="16"/>
              </w:rPr>
            </w:pPr>
            <w:r w:rsidRPr="00BD4B00">
              <w:rPr>
                <w:rFonts w:asciiTheme="majorBidi" w:hAnsiTheme="majorBidi" w:cstheme="majorBidi"/>
                <w:color w:val="000000"/>
                <w:sz w:val="16"/>
                <w:szCs w:val="16"/>
              </w:rPr>
              <w:t>-3,7</w:t>
            </w:r>
          </w:p>
        </w:tc>
        <w:tc>
          <w:tcPr>
            <w:tcW w:w="0" w:type="auto"/>
            <w:tcBorders>
              <w:top w:val="nil"/>
              <w:left w:val="nil"/>
              <w:bottom w:val="single" w:sz="4" w:space="0" w:color="auto"/>
              <w:right w:val="single" w:sz="4" w:space="0" w:color="auto"/>
            </w:tcBorders>
            <w:shd w:val="clear" w:color="auto" w:fill="auto"/>
            <w:vAlign w:val="center"/>
            <w:hideMark/>
          </w:tcPr>
          <w:p w:rsidR="00352124" w:rsidRPr="00BD4B00" w:rsidRDefault="00352124" w:rsidP="00BD4B00">
            <w:pPr>
              <w:widowControl/>
              <w:autoSpaceDE/>
              <w:autoSpaceDN/>
              <w:adjustRightInd/>
              <w:spacing w:line="360" w:lineRule="auto"/>
              <w:jc w:val="center"/>
              <w:rPr>
                <w:rFonts w:asciiTheme="majorBidi" w:hAnsiTheme="majorBidi" w:cstheme="majorBidi"/>
                <w:color w:val="000000"/>
                <w:sz w:val="16"/>
                <w:szCs w:val="16"/>
              </w:rPr>
            </w:pPr>
            <w:r w:rsidRPr="00BD4B00">
              <w:rPr>
                <w:rFonts w:asciiTheme="majorBidi" w:hAnsiTheme="majorBidi" w:cstheme="majorBidi"/>
                <w:color w:val="000000"/>
                <w:sz w:val="16"/>
                <w:szCs w:val="16"/>
              </w:rPr>
              <w:t>4,7</w:t>
            </w:r>
          </w:p>
        </w:tc>
        <w:tc>
          <w:tcPr>
            <w:tcW w:w="0" w:type="auto"/>
            <w:tcBorders>
              <w:top w:val="nil"/>
              <w:left w:val="nil"/>
              <w:bottom w:val="single" w:sz="4" w:space="0" w:color="auto"/>
              <w:right w:val="single" w:sz="4" w:space="0" w:color="auto"/>
            </w:tcBorders>
            <w:shd w:val="clear" w:color="auto" w:fill="auto"/>
            <w:vAlign w:val="center"/>
            <w:hideMark/>
          </w:tcPr>
          <w:p w:rsidR="00352124" w:rsidRPr="00BD4B00" w:rsidRDefault="00352124" w:rsidP="00BD4B00">
            <w:pPr>
              <w:widowControl/>
              <w:autoSpaceDE/>
              <w:autoSpaceDN/>
              <w:adjustRightInd/>
              <w:spacing w:line="360" w:lineRule="auto"/>
              <w:jc w:val="center"/>
              <w:rPr>
                <w:rFonts w:asciiTheme="majorBidi" w:hAnsiTheme="majorBidi" w:cstheme="majorBidi"/>
                <w:color w:val="000000"/>
                <w:sz w:val="16"/>
                <w:szCs w:val="16"/>
              </w:rPr>
            </w:pPr>
            <w:r w:rsidRPr="00BD4B00">
              <w:rPr>
                <w:rFonts w:asciiTheme="majorBidi" w:hAnsiTheme="majorBidi" w:cstheme="majorBidi"/>
                <w:color w:val="000000"/>
                <w:sz w:val="16"/>
                <w:szCs w:val="16"/>
              </w:rPr>
              <w:t>10</w:t>
            </w:r>
          </w:p>
        </w:tc>
        <w:tc>
          <w:tcPr>
            <w:tcW w:w="0" w:type="auto"/>
            <w:tcBorders>
              <w:top w:val="nil"/>
              <w:left w:val="nil"/>
              <w:bottom w:val="single" w:sz="4" w:space="0" w:color="auto"/>
              <w:right w:val="single" w:sz="4" w:space="0" w:color="auto"/>
            </w:tcBorders>
            <w:shd w:val="clear" w:color="auto" w:fill="auto"/>
            <w:vAlign w:val="center"/>
            <w:hideMark/>
          </w:tcPr>
          <w:p w:rsidR="00352124" w:rsidRPr="00BD4B00" w:rsidRDefault="00352124" w:rsidP="00BD4B00">
            <w:pPr>
              <w:widowControl/>
              <w:autoSpaceDE/>
              <w:autoSpaceDN/>
              <w:adjustRightInd/>
              <w:spacing w:line="360" w:lineRule="auto"/>
              <w:jc w:val="center"/>
              <w:rPr>
                <w:rFonts w:asciiTheme="majorBidi" w:hAnsiTheme="majorBidi" w:cstheme="majorBidi"/>
                <w:color w:val="000000"/>
                <w:sz w:val="16"/>
                <w:szCs w:val="16"/>
              </w:rPr>
            </w:pPr>
            <w:r w:rsidRPr="00BD4B00">
              <w:rPr>
                <w:rFonts w:asciiTheme="majorBidi" w:hAnsiTheme="majorBidi" w:cstheme="majorBidi"/>
                <w:color w:val="000000"/>
                <w:sz w:val="16"/>
                <w:szCs w:val="16"/>
              </w:rPr>
              <w:t>9</w:t>
            </w:r>
          </w:p>
        </w:tc>
        <w:tc>
          <w:tcPr>
            <w:tcW w:w="0" w:type="auto"/>
            <w:tcBorders>
              <w:top w:val="nil"/>
              <w:left w:val="nil"/>
              <w:bottom w:val="single" w:sz="4" w:space="0" w:color="auto"/>
              <w:right w:val="single" w:sz="4" w:space="0" w:color="auto"/>
            </w:tcBorders>
            <w:shd w:val="clear" w:color="auto" w:fill="auto"/>
            <w:vAlign w:val="center"/>
            <w:hideMark/>
          </w:tcPr>
          <w:p w:rsidR="00352124" w:rsidRPr="00BD4B00" w:rsidRDefault="00352124" w:rsidP="00BD4B00">
            <w:pPr>
              <w:widowControl/>
              <w:autoSpaceDE/>
              <w:autoSpaceDN/>
              <w:adjustRightInd/>
              <w:spacing w:line="360" w:lineRule="auto"/>
              <w:jc w:val="center"/>
              <w:rPr>
                <w:rFonts w:asciiTheme="majorBidi" w:hAnsiTheme="majorBidi" w:cstheme="majorBidi"/>
                <w:color w:val="000000"/>
                <w:sz w:val="16"/>
                <w:szCs w:val="16"/>
              </w:rPr>
            </w:pPr>
            <w:r w:rsidRPr="00BD4B00">
              <w:rPr>
                <w:rFonts w:asciiTheme="majorBidi" w:hAnsiTheme="majorBidi" w:cstheme="majorBidi"/>
                <w:color w:val="000000"/>
                <w:sz w:val="16"/>
                <w:szCs w:val="16"/>
              </w:rPr>
              <w:t>11,9</w:t>
            </w:r>
          </w:p>
        </w:tc>
        <w:tc>
          <w:tcPr>
            <w:tcW w:w="0" w:type="auto"/>
            <w:tcBorders>
              <w:top w:val="nil"/>
              <w:left w:val="nil"/>
              <w:bottom w:val="single" w:sz="4" w:space="0" w:color="auto"/>
              <w:right w:val="single" w:sz="4" w:space="0" w:color="auto"/>
            </w:tcBorders>
            <w:shd w:val="clear" w:color="auto" w:fill="auto"/>
            <w:vAlign w:val="center"/>
            <w:hideMark/>
          </w:tcPr>
          <w:p w:rsidR="00352124" w:rsidRPr="00BD4B00" w:rsidRDefault="00352124" w:rsidP="00BD4B00">
            <w:pPr>
              <w:widowControl/>
              <w:autoSpaceDE/>
              <w:autoSpaceDN/>
              <w:adjustRightInd/>
              <w:spacing w:line="360" w:lineRule="auto"/>
              <w:jc w:val="center"/>
              <w:rPr>
                <w:rFonts w:asciiTheme="majorBidi" w:hAnsiTheme="majorBidi" w:cstheme="majorBidi"/>
                <w:color w:val="000000"/>
                <w:sz w:val="16"/>
                <w:szCs w:val="16"/>
              </w:rPr>
            </w:pPr>
            <w:r w:rsidRPr="00BD4B00">
              <w:rPr>
                <w:rFonts w:asciiTheme="majorBidi" w:hAnsiTheme="majorBidi" w:cstheme="majorBidi"/>
                <w:color w:val="000000"/>
                <w:sz w:val="16"/>
                <w:szCs w:val="16"/>
              </w:rPr>
              <w:t>15</w:t>
            </w:r>
          </w:p>
        </w:tc>
        <w:tc>
          <w:tcPr>
            <w:tcW w:w="0" w:type="auto"/>
            <w:tcBorders>
              <w:top w:val="nil"/>
              <w:left w:val="nil"/>
              <w:bottom w:val="single" w:sz="4" w:space="0" w:color="auto"/>
              <w:right w:val="single" w:sz="4" w:space="0" w:color="auto"/>
            </w:tcBorders>
            <w:shd w:val="clear" w:color="auto" w:fill="auto"/>
            <w:vAlign w:val="center"/>
            <w:hideMark/>
          </w:tcPr>
          <w:p w:rsidR="00352124" w:rsidRPr="00BD4B00" w:rsidRDefault="00352124" w:rsidP="00BD4B00">
            <w:pPr>
              <w:widowControl/>
              <w:autoSpaceDE/>
              <w:autoSpaceDN/>
              <w:adjustRightInd/>
              <w:spacing w:line="360" w:lineRule="auto"/>
              <w:jc w:val="center"/>
              <w:rPr>
                <w:rFonts w:asciiTheme="majorBidi" w:hAnsiTheme="majorBidi" w:cstheme="majorBidi"/>
                <w:color w:val="000000"/>
                <w:sz w:val="16"/>
                <w:szCs w:val="16"/>
              </w:rPr>
            </w:pPr>
            <w:r w:rsidRPr="00BD4B00">
              <w:rPr>
                <w:rFonts w:asciiTheme="majorBidi" w:hAnsiTheme="majorBidi" w:cstheme="majorBidi"/>
                <w:color w:val="000000"/>
                <w:sz w:val="16"/>
                <w:szCs w:val="16"/>
              </w:rPr>
              <w:t>16,6</w:t>
            </w:r>
          </w:p>
        </w:tc>
        <w:tc>
          <w:tcPr>
            <w:tcW w:w="0" w:type="auto"/>
            <w:tcBorders>
              <w:top w:val="nil"/>
              <w:left w:val="nil"/>
              <w:bottom w:val="single" w:sz="4" w:space="0" w:color="auto"/>
              <w:right w:val="single" w:sz="4" w:space="0" w:color="auto"/>
            </w:tcBorders>
            <w:shd w:val="clear" w:color="auto" w:fill="auto"/>
            <w:vAlign w:val="center"/>
            <w:hideMark/>
          </w:tcPr>
          <w:p w:rsidR="00352124" w:rsidRPr="00BD4B00" w:rsidRDefault="00352124" w:rsidP="00BD4B00">
            <w:pPr>
              <w:widowControl/>
              <w:autoSpaceDE/>
              <w:autoSpaceDN/>
              <w:adjustRightInd/>
              <w:spacing w:line="360" w:lineRule="auto"/>
              <w:jc w:val="center"/>
              <w:rPr>
                <w:rFonts w:asciiTheme="majorBidi" w:hAnsiTheme="majorBidi" w:cstheme="majorBidi"/>
                <w:color w:val="000000"/>
                <w:sz w:val="16"/>
                <w:szCs w:val="16"/>
              </w:rPr>
            </w:pPr>
            <w:r w:rsidRPr="00BD4B00">
              <w:rPr>
                <w:rFonts w:asciiTheme="majorBidi" w:hAnsiTheme="majorBidi" w:cstheme="majorBidi"/>
                <w:color w:val="000000"/>
                <w:sz w:val="16"/>
                <w:szCs w:val="16"/>
              </w:rPr>
              <w:t>11,5</w:t>
            </w:r>
          </w:p>
        </w:tc>
        <w:tc>
          <w:tcPr>
            <w:tcW w:w="0" w:type="auto"/>
            <w:tcBorders>
              <w:top w:val="nil"/>
              <w:left w:val="nil"/>
              <w:bottom w:val="single" w:sz="4" w:space="0" w:color="auto"/>
              <w:right w:val="single" w:sz="4" w:space="0" w:color="auto"/>
            </w:tcBorders>
            <w:shd w:val="clear" w:color="auto" w:fill="auto"/>
            <w:vAlign w:val="center"/>
            <w:hideMark/>
          </w:tcPr>
          <w:p w:rsidR="00352124" w:rsidRPr="00BD4B00" w:rsidRDefault="00352124" w:rsidP="00BD4B00">
            <w:pPr>
              <w:widowControl/>
              <w:autoSpaceDE/>
              <w:autoSpaceDN/>
              <w:adjustRightInd/>
              <w:spacing w:line="360" w:lineRule="auto"/>
              <w:jc w:val="center"/>
              <w:rPr>
                <w:rFonts w:asciiTheme="majorBidi" w:hAnsiTheme="majorBidi" w:cstheme="majorBidi"/>
                <w:color w:val="000000"/>
                <w:sz w:val="16"/>
                <w:szCs w:val="16"/>
              </w:rPr>
            </w:pPr>
            <w:r w:rsidRPr="00BD4B00">
              <w:rPr>
                <w:rFonts w:asciiTheme="majorBidi" w:hAnsiTheme="majorBidi" w:cstheme="majorBidi"/>
                <w:color w:val="000000"/>
                <w:sz w:val="16"/>
                <w:szCs w:val="16"/>
              </w:rPr>
              <w:t>10,5</w:t>
            </w:r>
          </w:p>
        </w:tc>
        <w:tc>
          <w:tcPr>
            <w:tcW w:w="0" w:type="auto"/>
            <w:tcBorders>
              <w:top w:val="nil"/>
              <w:left w:val="nil"/>
              <w:bottom w:val="single" w:sz="4" w:space="0" w:color="auto"/>
              <w:right w:val="single" w:sz="4" w:space="0" w:color="auto"/>
            </w:tcBorders>
            <w:shd w:val="clear" w:color="auto" w:fill="auto"/>
            <w:vAlign w:val="center"/>
            <w:hideMark/>
          </w:tcPr>
          <w:p w:rsidR="00352124" w:rsidRPr="00BD4B00" w:rsidRDefault="00352124" w:rsidP="00BD4B00">
            <w:pPr>
              <w:widowControl/>
              <w:autoSpaceDE/>
              <w:autoSpaceDN/>
              <w:adjustRightInd/>
              <w:spacing w:line="360" w:lineRule="auto"/>
              <w:jc w:val="center"/>
              <w:rPr>
                <w:rFonts w:asciiTheme="majorBidi" w:hAnsiTheme="majorBidi" w:cstheme="majorBidi"/>
                <w:color w:val="000000"/>
                <w:sz w:val="16"/>
                <w:szCs w:val="16"/>
              </w:rPr>
            </w:pPr>
            <w:r w:rsidRPr="00BD4B00">
              <w:rPr>
                <w:rFonts w:asciiTheme="majorBidi" w:hAnsiTheme="majorBidi" w:cstheme="majorBidi"/>
                <w:color w:val="000000"/>
                <w:sz w:val="16"/>
                <w:szCs w:val="16"/>
              </w:rPr>
              <w:t>11,1</w:t>
            </w:r>
          </w:p>
        </w:tc>
        <w:tc>
          <w:tcPr>
            <w:tcW w:w="0" w:type="auto"/>
            <w:tcBorders>
              <w:top w:val="nil"/>
              <w:left w:val="nil"/>
              <w:bottom w:val="single" w:sz="4" w:space="0" w:color="auto"/>
              <w:right w:val="single" w:sz="4" w:space="0" w:color="auto"/>
            </w:tcBorders>
            <w:shd w:val="clear" w:color="auto" w:fill="auto"/>
            <w:vAlign w:val="center"/>
            <w:hideMark/>
          </w:tcPr>
          <w:p w:rsidR="00352124" w:rsidRPr="00BD4B00" w:rsidRDefault="00352124" w:rsidP="00BD4B00">
            <w:pPr>
              <w:widowControl/>
              <w:autoSpaceDE/>
              <w:autoSpaceDN/>
              <w:adjustRightInd/>
              <w:spacing w:line="360" w:lineRule="auto"/>
              <w:jc w:val="center"/>
              <w:rPr>
                <w:rFonts w:asciiTheme="majorBidi" w:hAnsiTheme="majorBidi" w:cstheme="majorBidi"/>
                <w:color w:val="000000"/>
                <w:sz w:val="16"/>
                <w:szCs w:val="16"/>
              </w:rPr>
            </w:pPr>
            <w:r w:rsidRPr="00BD4B00">
              <w:rPr>
                <w:rFonts w:asciiTheme="majorBidi" w:hAnsiTheme="majorBidi" w:cstheme="majorBidi"/>
                <w:color w:val="000000"/>
                <w:sz w:val="16"/>
                <w:szCs w:val="16"/>
              </w:rPr>
              <w:t>5,7</w:t>
            </w:r>
          </w:p>
        </w:tc>
        <w:tc>
          <w:tcPr>
            <w:tcW w:w="0" w:type="auto"/>
            <w:tcBorders>
              <w:top w:val="nil"/>
              <w:left w:val="nil"/>
              <w:bottom w:val="single" w:sz="4" w:space="0" w:color="auto"/>
              <w:right w:val="single" w:sz="4" w:space="0" w:color="auto"/>
            </w:tcBorders>
            <w:shd w:val="clear" w:color="auto" w:fill="auto"/>
            <w:vAlign w:val="center"/>
            <w:hideMark/>
          </w:tcPr>
          <w:p w:rsidR="00352124" w:rsidRPr="00BD4B00" w:rsidRDefault="00352124" w:rsidP="00BD4B00">
            <w:pPr>
              <w:widowControl/>
              <w:autoSpaceDE/>
              <w:autoSpaceDN/>
              <w:adjustRightInd/>
              <w:spacing w:line="360" w:lineRule="auto"/>
              <w:jc w:val="center"/>
              <w:rPr>
                <w:rFonts w:asciiTheme="majorBidi" w:hAnsiTheme="majorBidi" w:cstheme="majorBidi"/>
                <w:color w:val="000000"/>
                <w:sz w:val="16"/>
                <w:szCs w:val="16"/>
              </w:rPr>
            </w:pPr>
            <w:r w:rsidRPr="00BD4B00">
              <w:rPr>
                <w:rFonts w:asciiTheme="majorBidi" w:hAnsiTheme="majorBidi" w:cstheme="majorBidi"/>
                <w:color w:val="000000"/>
                <w:sz w:val="16"/>
                <w:szCs w:val="16"/>
              </w:rPr>
              <w:t>-2,4</w:t>
            </w:r>
          </w:p>
        </w:tc>
        <w:tc>
          <w:tcPr>
            <w:tcW w:w="0" w:type="auto"/>
            <w:tcBorders>
              <w:top w:val="nil"/>
              <w:left w:val="nil"/>
              <w:bottom w:val="single" w:sz="4" w:space="0" w:color="auto"/>
              <w:right w:val="single" w:sz="4" w:space="0" w:color="auto"/>
            </w:tcBorders>
            <w:shd w:val="clear" w:color="auto" w:fill="auto"/>
            <w:vAlign w:val="center"/>
            <w:hideMark/>
          </w:tcPr>
          <w:p w:rsidR="00352124" w:rsidRPr="00BD4B00" w:rsidRDefault="00352124" w:rsidP="00BD4B00">
            <w:pPr>
              <w:widowControl/>
              <w:autoSpaceDE/>
              <w:autoSpaceDN/>
              <w:adjustRightInd/>
              <w:spacing w:line="360" w:lineRule="auto"/>
              <w:jc w:val="center"/>
              <w:rPr>
                <w:rFonts w:asciiTheme="majorBidi" w:hAnsiTheme="majorBidi" w:cstheme="majorBidi"/>
                <w:color w:val="000000"/>
                <w:sz w:val="16"/>
                <w:szCs w:val="16"/>
              </w:rPr>
            </w:pPr>
            <w:r w:rsidRPr="00BD4B00">
              <w:rPr>
                <w:rFonts w:asciiTheme="majorBidi" w:hAnsiTheme="majorBidi" w:cstheme="majorBidi"/>
                <w:color w:val="000000"/>
                <w:sz w:val="16"/>
                <w:szCs w:val="16"/>
              </w:rPr>
              <w:t>-7,1</w:t>
            </w:r>
          </w:p>
        </w:tc>
        <w:tc>
          <w:tcPr>
            <w:tcW w:w="0" w:type="auto"/>
            <w:tcBorders>
              <w:top w:val="nil"/>
              <w:left w:val="nil"/>
              <w:bottom w:val="single" w:sz="4" w:space="0" w:color="auto"/>
              <w:right w:val="single" w:sz="4" w:space="0" w:color="auto"/>
            </w:tcBorders>
            <w:shd w:val="clear" w:color="auto" w:fill="auto"/>
            <w:vAlign w:val="center"/>
            <w:hideMark/>
          </w:tcPr>
          <w:p w:rsidR="00352124" w:rsidRPr="00BD4B00" w:rsidRDefault="00352124" w:rsidP="00BD4B00">
            <w:pPr>
              <w:widowControl/>
              <w:autoSpaceDE/>
              <w:autoSpaceDN/>
              <w:adjustRightInd/>
              <w:spacing w:line="360" w:lineRule="auto"/>
              <w:jc w:val="center"/>
              <w:rPr>
                <w:rFonts w:asciiTheme="majorBidi" w:hAnsiTheme="majorBidi" w:cstheme="majorBidi"/>
                <w:color w:val="000000"/>
                <w:sz w:val="16"/>
                <w:szCs w:val="16"/>
              </w:rPr>
            </w:pPr>
            <w:r w:rsidRPr="00BD4B00">
              <w:rPr>
                <w:rFonts w:asciiTheme="majorBidi" w:hAnsiTheme="majorBidi" w:cstheme="majorBidi"/>
                <w:color w:val="000000"/>
                <w:sz w:val="16"/>
                <w:szCs w:val="16"/>
              </w:rPr>
              <w:t>-7,6</w:t>
            </w:r>
          </w:p>
        </w:tc>
        <w:tc>
          <w:tcPr>
            <w:tcW w:w="0" w:type="auto"/>
            <w:tcBorders>
              <w:top w:val="nil"/>
              <w:left w:val="nil"/>
              <w:bottom w:val="single" w:sz="4" w:space="0" w:color="auto"/>
              <w:right w:val="single" w:sz="4" w:space="0" w:color="auto"/>
            </w:tcBorders>
            <w:shd w:val="clear" w:color="auto" w:fill="auto"/>
            <w:vAlign w:val="center"/>
            <w:hideMark/>
          </w:tcPr>
          <w:p w:rsidR="00352124" w:rsidRPr="00BD4B00" w:rsidRDefault="00352124" w:rsidP="00BD4B00">
            <w:pPr>
              <w:widowControl/>
              <w:autoSpaceDE/>
              <w:autoSpaceDN/>
              <w:adjustRightInd/>
              <w:spacing w:line="360" w:lineRule="auto"/>
              <w:jc w:val="center"/>
              <w:rPr>
                <w:rFonts w:asciiTheme="majorBidi" w:hAnsiTheme="majorBidi" w:cstheme="majorBidi"/>
                <w:color w:val="000000"/>
                <w:sz w:val="16"/>
                <w:szCs w:val="16"/>
              </w:rPr>
            </w:pPr>
            <w:r w:rsidRPr="00BD4B00">
              <w:rPr>
                <w:rFonts w:asciiTheme="majorBidi" w:hAnsiTheme="majorBidi" w:cstheme="majorBidi"/>
                <w:color w:val="000000"/>
                <w:sz w:val="16"/>
                <w:szCs w:val="16"/>
              </w:rPr>
              <w:t>-14,2</w:t>
            </w:r>
          </w:p>
        </w:tc>
        <w:tc>
          <w:tcPr>
            <w:tcW w:w="0" w:type="auto"/>
            <w:tcBorders>
              <w:top w:val="nil"/>
              <w:left w:val="nil"/>
              <w:bottom w:val="single" w:sz="4" w:space="0" w:color="auto"/>
              <w:right w:val="single" w:sz="4" w:space="0" w:color="auto"/>
            </w:tcBorders>
            <w:shd w:val="clear" w:color="auto" w:fill="auto"/>
            <w:vAlign w:val="center"/>
            <w:hideMark/>
          </w:tcPr>
          <w:p w:rsidR="00352124" w:rsidRPr="00BD4B00" w:rsidRDefault="00352124" w:rsidP="00BD4B00">
            <w:pPr>
              <w:widowControl/>
              <w:autoSpaceDE/>
              <w:autoSpaceDN/>
              <w:bidi/>
              <w:adjustRightInd/>
              <w:spacing w:line="360" w:lineRule="auto"/>
              <w:rPr>
                <w:rFonts w:asciiTheme="majorBidi" w:hAnsiTheme="majorBidi" w:cstheme="majorBidi"/>
                <w:b/>
                <w:bCs/>
                <w:color w:val="000000"/>
                <w:sz w:val="16"/>
                <w:szCs w:val="16"/>
              </w:rPr>
            </w:pPr>
            <w:r w:rsidRPr="00BD4B00">
              <w:rPr>
                <w:rFonts w:asciiTheme="majorBidi" w:hAnsiTheme="majorBidi" w:cstheme="majorBidi"/>
                <w:b/>
                <w:bCs/>
                <w:color w:val="000000"/>
                <w:sz w:val="16"/>
                <w:szCs w:val="16"/>
                <w:rtl/>
              </w:rPr>
              <w:t>آفاق تطور مستوى المعيشة بصفة عامة</w:t>
            </w:r>
          </w:p>
        </w:tc>
      </w:tr>
      <w:tr w:rsidR="00696211" w:rsidRPr="00BD4B00" w:rsidTr="00BD4B00">
        <w:trPr>
          <w:trHeight w:val="591"/>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352124" w:rsidRPr="00BD4B00" w:rsidRDefault="00352124" w:rsidP="00BD4B00">
            <w:pPr>
              <w:widowControl/>
              <w:autoSpaceDE/>
              <w:autoSpaceDN/>
              <w:adjustRightInd/>
              <w:spacing w:line="360" w:lineRule="auto"/>
              <w:jc w:val="center"/>
              <w:rPr>
                <w:rFonts w:asciiTheme="majorBidi" w:hAnsiTheme="majorBidi" w:cstheme="majorBidi"/>
                <w:color w:val="000000"/>
                <w:sz w:val="16"/>
                <w:szCs w:val="16"/>
              </w:rPr>
            </w:pPr>
            <w:r w:rsidRPr="00BD4B00">
              <w:rPr>
                <w:rFonts w:asciiTheme="majorBidi" w:hAnsiTheme="majorBidi" w:cstheme="majorBidi"/>
                <w:color w:val="000000"/>
                <w:sz w:val="16"/>
                <w:szCs w:val="16"/>
              </w:rPr>
              <w:t>-70,3</w:t>
            </w:r>
          </w:p>
        </w:tc>
        <w:tc>
          <w:tcPr>
            <w:tcW w:w="590" w:type="dxa"/>
            <w:tcBorders>
              <w:top w:val="nil"/>
              <w:left w:val="nil"/>
              <w:bottom w:val="single" w:sz="4" w:space="0" w:color="auto"/>
              <w:right w:val="single" w:sz="4" w:space="0" w:color="auto"/>
            </w:tcBorders>
            <w:shd w:val="clear" w:color="auto" w:fill="auto"/>
            <w:vAlign w:val="center"/>
            <w:hideMark/>
          </w:tcPr>
          <w:p w:rsidR="00352124" w:rsidRPr="00BD4B00" w:rsidRDefault="00352124" w:rsidP="00BD4B00">
            <w:pPr>
              <w:widowControl/>
              <w:autoSpaceDE/>
              <w:autoSpaceDN/>
              <w:adjustRightInd/>
              <w:spacing w:line="360" w:lineRule="auto"/>
              <w:jc w:val="center"/>
              <w:rPr>
                <w:rFonts w:asciiTheme="majorBidi" w:hAnsiTheme="majorBidi" w:cstheme="majorBidi"/>
                <w:color w:val="000000"/>
                <w:sz w:val="16"/>
                <w:szCs w:val="16"/>
              </w:rPr>
            </w:pPr>
            <w:r w:rsidRPr="00BD4B00">
              <w:rPr>
                <w:rFonts w:asciiTheme="majorBidi" w:hAnsiTheme="majorBidi" w:cstheme="majorBidi"/>
                <w:color w:val="000000"/>
                <w:sz w:val="16"/>
                <w:szCs w:val="16"/>
              </w:rPr>
              <w:t>-74,0</w:t>
            </w:r>
          </w:p>
        </w:tc>
        <w:tc>
          <w:tcPr>
            <w:tcW w:w="0" w:type="auto"/>
            <w:tcBorders>
              <w:top w:val="nil"/>
              <w:left w:val="nil"/>
              <w:bottom w:val="single" w:sz="4" w:space="0" w:color="auto"/>
              <w:right w:val="single" w:sz="4" w:space="0" w:color="auto"/>
            </w:tcBorders>
            <w:shd w:val="clear" w:color="auto" w:fill="auto"/>
            <w:vAlign w:val="center"/>
            <w:hideMark/>
          </w:tcPr>
          <w:p w:rsidR="00352124" w:rsidRPr="00BD4B00" w:rsidRDefault="00352124" w:rsidP="00BD4B00">
            <w:pPr>
              <w:widowControl/>
              <w:autoSpaceDE/>
              <w:autoSpaceDN/>
              <w:adjustRightInd/>
              <w:spacing w:line="360" w:lineRule="auto"/>
              <w:jc w:val="center"/>
              <w:rPr>
                <w:rFonts w:asciiTheme="majorBidi" w:hAnsiTheme="majorBidi" w:cstheme="majorBidi"/>
                <w:color w:val="000000"/>
                <w:sz w:val="16"/>
                <w:szCs w:val="16"/>
              </w:rPr>
            </w:pPr>
            <w:r w:rsidRPr="00BD4B00">
              <w:rPr>
                <w:rFonts w:asciiTheme="majorBidi" w:hAnsiTheme="majorBidi" w:cstheme="majorBidi"/>
                <w:color w:val="000000"/>
                <w:sz w:val="16"/>
                <w:szCs w:val="16"/>
              </w:rPr>
              <w:t>-69,1</w:t>
            </w:r>
          </w:p>
        </w:tc>
        <w:tc>
          <w:tcPr>
            <w:tcW w:w="0" w:type="auto"/>
            <w:tcBorders>
              <w:top w:val="nil"/>
              <w:left w:val="nil"/>
              <w:bottom w:val="single" w:sz="4" w:space="0" w:color="auto"/>
              <w:right w:val="single" w:sz="4" w:space="0" w:color="auto"/>
            </w:tcBorders>
            <w:shd w:val="clear" w:color="auto" w:fill="auto"/>
            <w:vAlign w:val="center"/>
            <w:hideMark/>
          </w:tcPr>
          <w:p w:rsidR="00352124" w:rsidRPr="00BD4B00" w:rsidRDefault="00352124" w:rsidP="00BD4B00">
            <w:pPr>
              <w:widowControl/>
              <w:autoSpaceDE/>
              <w:autoSpaceDN/>
              <w:adjustRightInd/>
              <w:spacing w:line="360" w:lineRule="auto"/>
              <w:jc w:val="center"/>
              <w:rPr>
                <w:rFonts w:asciiTheme="majorBidi" w:hAnsiTheme="majorBidi" w:cstheme="majorBidi"/>
                <w:color w:val="000000"/>
                <w:sz w:val="16"/>
                <w:szCs w:val="16"/>
              </w:rPr>
            </w:pPr>
            <w:r w:rsidRPr="00BD4B00">
              <w:rPr>
                <w:rFonts w:asciiTheme="majorBidi" w:hAnsiTheme="majorBidi" w:cstheme="majorBidi"/>
                <w:color w:val="000000"/>
                <w:sz w:val="16"/>
                <w:szCs w:val="16"/>
              </w:rPr>
              <w:t>-66,7</w:t>
            </w:r>
          </w:p>
        </w:tc>
        <w:tc>
          <w:tcPr>
            <w:tcW w:w="0" w:type="auto"/>
            <w:tcBorders>
              <w:top w:val="nil"/>
              <w:left w:val="nil"/>
              <w:bottom w:val="single" w:sz="4" w:space="0" w:color="auto"/>
              <w:right w:val="single" w:sz="4" w:space="0" w:color="auto"/>
            </w:tcBorders>
            <w:shd w:val="clear" w:color="auto" w:fill="auto"/>
            <w:vAlign w:val="center"/>
            <w:hideMark/>
          </w:tcPr>
          <w:p w:rsidR="00352124" w:rsidRPr="00BD4B00" w:rsidRDefault="00352124" w:rsidP="00BD4B00">
            <w:pPr>
              <w:widowControl/>
              <w:autoSpaceDE/>
              <w:autoSpaceDN/>
              <w:adjustRightInd/>
              <w:spacing w:line="360" w:lineRule="auto"/>
              <w:jc w:val="center"/>
              <w:rPr>
                <w:rFonts w:asciiTheme="majorBidi" w:hAnsiTheme="majorBidi" w:cstheme="majorBidi"/>
                <w:color w:val="000000"/>
                <w:sz w:val="16"/>
                <w:szCs w:val="16"/>
              </w:rPr>
            </w:pPr>
            <w:r w:rsidRPr="00BD4B00">
              <w:rPr>
                <w:rFonts w:asciiTheme="majorBidi" w:hAnsiTheme="majorBidi" w:cstheme="majorBidi"/>
                <w:color w:val="000000"/>
                <w:sz w:val="16"/>
                <w:szCs w:val="16"/>
              </w:rPr>
              <w:t>-62,8</w:t>
            </w:r>
          </w:p>
        </w:tc>
        <w:tc>
          <w:tcPr>
            <w:tcW w:w="0" w:type="auto"/>
            <w:tcBorders>
              <w:top w:val="nil"/>
              <w:left w:val="nil"/>
              <w:bottom w:val="single" w:sz="4" w:space="0" w:color="auto"/>
              <w:right w:val="single" w:sz="4" w:space="0" w:color="auto"/>
            </w:tcBorders>
            <w:shd w:val="clear" w:color="auto" w:fill="auto"/>
            <w:vAlign w:val="center"/>
            <w:hideMark/>
          </w:tcPr>
          <w:p w:rsidR="00352124" w:rsidRPr="00BD4B00" w:rsidRDefault="00352124" w:rsidP="00BD4B00">
            <w:pPr>
              <w:widowControl/>
              <w:autoSpaceDE/>
              <w:autoSpaceDN/>
              <w:adjustRightInd/>
              <w:spacing w:line="360" w:lineRule="auto"/>
              <w:jc w:val="center"/>
              <w:rPr>
                <w:rFonts w:asciiTheme="majorBidi" w:hAnsiTheme="majorBidi" w:cstheme="majorBidi"/>
                <w:color w:val="000000"/>
                <w:sz w:val="16"/>
                <w:szCs w:val="16"/>
              </w:rPr>
            </w:pPr>
            <w:r w:rsidRPr="00BD4B00">
              <w:rPr>
                <w:rFonts w:asciiTheme="majorBidi" w:hAnsiTheme="majorBidi" w:cstheme="majorBidi"/>
                <w:color w:val="000000"/>
                <w:sz w:val="16"/>
                <w:szCs w:val="16"/>
              </w:rPr>
              <w:t>-62</w:t>
            </w:r>
          </w:p>
        </w:tc>
        <w:tc>
          <w:tcPr>
            <w:tcW w:w="0" w:type="auto"/>
            <w:tcBorders>
              <w:top w:val="nil"/>
              <w:left w:val="nil"/>
              <w:bottom w:val="single" w:sz="4" w:space="0" w:color="auto"/>
              <w:right w:val="single" w:sz="4" w:space="0" w:color="auto"/>
            </w:tcBorders>
            <w:shd w:val="clear" w:color="auto" w:fill="auto"/>
            <w:vAlign w:val="center"/>
            <w:hideMark/>
          </w:tcPr>
          <w:p w:rsidR="00352124" w:rsidRPr="00BD4B00" w:rsidRDefault="00352124" w:rsidP="00BD4B00">
            <w:pPr>
              <w:widowControl/>
              <w:autoSpaceDE/>
              <w:autoSpaceDN/>
              <w:adjustRightInd/>
              <w:spacing w:line="360" w:lineRule="auto"/>
              <w:jc w:val="center"/>
              <w:rPr>
                <w:rFonts w:asciiTheme="majorBidi" w:hAnsiTheme="majorBidi" w:cstheme="majorBidi"/>
                <w:color w:val="000000"/>
                <w:sz w:val="16"/>
                <w:szCs w:val="16"/>
              </w:rPr>
            </w:pPr>
            <w:r w:rsidRPr="00BD4B00">
              <w:rPr>
                <w:rFonts w:asciiTheme="majorBidi" w:hAnsiTheme="majorBidi" w:cstheme="majorBidi"/>
                <w:color w:val="000000"/>
                <w:sz w:val="16"/>
                <w:szCs w:val="16"/>
              </w:rPr>
              <w:t>-65,6</w:t>
            </w:r>
          </w:p>
        </w:tc>
        <w:tc>
          <w:tcPr>
            <w:tcW w:w="0" w:type="auto"/>
            <w:tcBorders>
              <w:top w:val="nil"/>
              <w:left w:val="nil"/>
              <w:bottom w:val="single" w:sz="4" w:space="0" w:color="auto"/>
              <w:right w:val="single" w:sz="4" w:space="0" w:color="auto"/>
            </w:tcBorders>
            <w:shd w:val="clear" w:color="auto" w:fill="auto"/>
            <w:vAlign w:val="center"/>
            <w:hideMark/>
          </w:tcPr>
          <w:p w:rsidR="00352124" w:rsidRPr="00BD4B00" w:rsidRDefault="00352124" w:rsidP="00BD4B00">
            <w:pPr>
              <w:widowControl/>
              <w:autoSpaceDE/>
              <w:autoSpaceDN/>
              <w:adjustRightInd/>
              <w:spacing w:line="360" w:lineRule="auto"/>
              <w:jc w:val="center"/>
              <w:rPr>
                <w:rFonts w:asciiTheme="majorBidi" w:hAnsiTheme="majorBidi" w:cstheme="majorBidi"/>
                <w:color w:val="000000"/>
                <w:sz w:val="16"/>
                <w:szCs w:val="16"/>
              </w:rPr>
            </w:pPr>
            <w:r w:rsidRPr="00BD4B00">
              <w:rPr>
                <w:rFonts w:asciiTheme="majorBidi" w:hAnsiTheme="majorBidi" w:cstheme="majorBidi"/>
                <w:color w:val="000000"/>
                <w:sz w:val="16"/>
                <w:szCs w:val="16"/>
              </w:rPr>
              <w:t>-61,6</w:t>
            </w:r>
          </w:p>
        </w:tc>
        <w:tc>
          <w:tcPr>
            <w:tcW w:w="0" w:type="auto"/>
            <w:tcBorders>
              <w:top w:val="nil"/>
              <w:left w:val="nil"/>
              <w:bottom w:val="single" w:sz="4" w:space="0" w:color="auto"/>
              <w:right w:val="single" w:sz="4" w:space="0" w:color="auto"/>
            </w:tcBorders>
            <w:shd w:val="clear" w:color="auto" w:fill="auto"/>
            <w:vAlign w:val="center"/>
            <w:hideMark/>
          </w:tcPr>
          <w:p w:rsidR="00352124" w:rsidRPr="00BD4B00" w:rsidRDefault="00352124" w:rsidP="00BD4B00">
            <w:pPr>
              <w:widowControl/>
              <w:autoSpaceDE/>
              <w:autoSpaceDN/>
              <w:adjustRightInd/>
              <w:spacing w:line="360" w:lineRule="auto"/>
              <w:jc w:val="center"/>
              <w:rPr>
                <w:rFonts w:asciiTheme="majorBidi" w:hAnsiTheme="majorBidi" w:cstheme="majorBidi"/>
                <w:color w:val="000000"/>
                <w:sz w:val="16"/>
                <w:szCs w:val="16"/>
              </w:rPr>
            </w:pPr>
            <w:r w:rsidRPr="00BD4B00">
              <w:rPr>
                <w:rFonts w:asciiTheme="majorBidi" w:hAnsiTheme="majorBidi" w:cstheme="majorBidi"/>
                <w:color w:val="000000"/>
                <w:sz w:val="16"/>
                <w:szCs w:val="16"/>
              </w:rPr>
              <w:t>-61,2</w:t>
            </w:r>
          </w:p>
        </w:tc>
        <w:tc>
          <w:tcPr>
            <w:tcW w:w="0" w:type="auto"/>
            <w:tcBorders>
              <w:top w:val="nil"/>
              <w:left w:val="nil"/>
              <w:bottom w:val="single" w:sz="4" w:space="0" w:color="auto"/>
              <w:right w:val="single" w:sz="4" w:space="0" w:color="auto"/>
            </w:tcBorders>
            <w:shd w:val="clear" w:color="auto" w:fill="auto"/>
            <w:vAlign w:val="center"/>
            <w:hideMark/>
          </w:tcPr>
          <w:p w:rsidR="00352124" w:rsidRPr="00BD4B00" w:rsidRDefault="00352124" w:rsidP="00BD4B00">
            <w:pPr>
              <w:widowControl/>
              <w:autoSpaceDE/>
              <w:autoSpaceDN/>
              <w:adjustRightInd/>
              <w:spacing w:line="360" w:lineRule="auto"/>
              <w:jc w:val="center"/>
              <w:rPr>
                <w:rFonts w:asciiTheme="majorBidi" w:hAnsiTheme="majorBidi" w:cstheme="majorBidi"/>
                <w:color w:val="000000"/>
                <w:sz w:val="16"/>
                <w:szCs w:val="16"/>
              </w:rPr>
            </w:pPr>
            <w:r w:rsidRPr="00BD4B00">
              <w:rPr>
                <w:rFonts w:asciiTheme="majorBidi" w:hAnsiTheme="majorBidi" w:cstheme="majorBidi"/>
                <w:color w:val="000000"/>
                <w:sz w:val="16"/>
                <w:szCs w:val="16"/>
              </w:rPr>
              <w:t>-63,5</w:t>
            </w:r>
          </w:p>
        </w:tc>
        <w:tc>
          <w:tcPr>
            <w:tcW w:w="0" w:type="auto"/>
            <w:tcBorders>
              <w:top w:val="nil"/>
              <w:left w:val="nil"/>
              <w:bottom w:val="single" w:sz="4" w:space="0" w:color="auto"/>
              <w:right w:val="single" w:sz="4" w:space="0" w:color="auto"/>
            </w:tcBorders>
            <w:shd w:val="clear" w:color="auto" w:fill="auto"/>
            <w:vAlign w:val="center"/>
            <w:hideMark/>
          </w:tcPr>
          <w:p w:rsidR="00352124" w:rsidRPr="00BD4B00" w:rsidRDefault="00352124" w:rsidP="00BD4B00">
            <w:pPr>
              <w:widowControl/>
              <w:autoSpaceDE/>
              <w:autoSpaceDN/>
              <w:adjustRightInd/>
              <w:spacing w:line="360" w:lineRule="auto"/>
              <w:jc w:val="center"/>
              <w:rPr>
                <w:rFonts w:asciiTheme="majorBidi" w:hAnsiTheme="majorBidi" w:cstheme="majorBidi"/>
                <w:color w:val="000000"/>
                <w:sz w:val="16"/>
                <w:szCs w:val="16"/>
              </w:rPr>
            </w:pPr>
            <w:r w:rsidRPr="00BD4B00">
              <w:rPr>
                <w:rFonts w:asciiTheme="majorBidi" w:hAnsiTheme="majorBidi" w:cstheme="majorBidi"/>
                <w:color w:val="000000"/>
                <w:sz w:val="16"/>
                <w:szCs w:val="16"/>
              </w:rPr>
              <w:t>-68</w:t>
            </w:r>
          </w:p>
        </w:tc>
        <w:tc>
          <w:tcPr>
            <w:tcW w:w="0" w:type="auto"/>
            <w:tcBorders>
              <w:top w:val="nil"/>
              <w:left w:val="nil"/>
              <w:bottom w:val="single" w:sz="4" w:space="0" w:color="auto"/>
              <w:right w:val="single" w:sz="4" w:space="0" w:color="auto"/>
            </w:tcBorders>
            <w:shd w:val="clear" w:color="auto" w:fill="auto"/>
            <w:vAlign w:val="center"/>
            <w:hideMark/>
          </w:tcPr>
          <w:p w:rsidR="00352124" w:rsidRPr="00BD4B00" w:rsidRDefault="00352124" w:rsidP="00BD4B00">
            <w:pPr>
              <w:widowControl/>
              <w:autoSpaceDE/>
              <w:autoSpaceDN/>
              <w:adjustRightInd/>
              <w:spacing w:line="360" w:lineRule="auto"/>
              <w:jc w:val="center"/>
              <w:rPr>
                <w:rFonts w:asciiTheme="majorBidi" w:hAnsiTheme="majorBidi" w:cstheme="majorBidi"/>
                <w:color w:val="000000"/>
                <w:sz w:val="16"/>
                <w:szCs w:val="16"/>
              </w:rPr>
            </w:pPr>
            <w:r w:rsidRPr="00BD4B00">
              <w:rPr>
                <w:rFonts w:asciiTheme="majorBidi" w:hAnsiTheme="majorBidi" w:cstheme="majorBidi"/>
                <w:color w:val="000000"/>
                <w:sz w:val="16"/>
                <w:szCs w:val="16"/>
              </w:rPr>
              <w:t>-32,6</w:t>
            </w:r>
          </w:p>
        </w:tc>
        <w:tc>
          <w:tcPr>
            <w:tcW w:w="0" w:type="auto"/>
            <w:tcBorders>
              <w:top w:val="nil"/>
              <w:left w:val="nil"/>
              <w:bottom w:val="single" w:sz="4" w:space="0" w:color="auto"/>
              <w:right w:val="single" w:sz="4" w:space="0" w:color="auto"/>
            </w:tcBorders>
            <w:shd w:val="clear" w:color="auto" w:fill="auto"/>
            <w:vAlign w:val="center"/>
            <w:hideMark/>
          </w:tcPr>
          <w:p w:rsidR="00352124" w:rsidRPr="00BD4B00" w:rsidRDefault="00352124" w:rsidP="00BD4B00">
            <w:pPr>
              <w:widowControl/>
              <w:autoSpaceDE/>
              <w:autoSpaceDN/>
              <w:adjustRightInd/>
              <w:spacing w:line="360" w:lineRule="auto"/>
              <w:jc w:val="center"/>
              <w:rPr>
                <w:rFonts w:asciiTheme="majorBidi" w:hAnsiTheme="majorBidi" w:cstheme="majorBidi"/>
                <w:color w:val="000000"/>
                <w:sz w:val="16"/>
                <w:szCs w:val="16"/>
              </w:rPr>
            </w:pPr>
            <w:r w:rsidRPr="00BD4B00">
              <w:rPr>
                <w:rFonts w:asciiTheme="majorBidi" w:hAnsiTheme="majorBidi" w:cstheme="majorBidi"/>
                <w:color w:val="000000"/>
                <w:sz w:val="16"/>
                <w:szCs w:val="16"/>
              </w:rPr>
              <w:t>-29,2</w:t>
            </w:r>
          </w:p>
        </w:tc>
        <w:tc>
          <w:tcPr>
            <w:tcW w:w="0" w:type="auto"/>
            <w:tcBorders>
              <w:top w:val="nil"/>
              <w:left w:val="nil"/>
              <w:bottom w:val="single" w:sz="4" w:space="0" w:color="auto"/>
              <w:right w:val="single" w:sz="4" w:space="0" w:color="auto"/>
            </w:tcBorders>
            <w:shd w:val="clear" w:color="auto" w:fill="auto"/>
            <w:vAlign w:val="center"/>
            <w:hideMark/>
          </w:tcPr>
          <w:p w:rsidR="00352124" w:rsidRPr="00BD4B00" w:rsidRDefault="00352124" w:rsidP="00BD4B00">
            <w:pPr>
              <w:widowControl/>
              <w:autoSpaceDE/>
              <w:autoSpaceDN/>
              <w:adjustRightInd/>
              <w:spacing w:line="360" w:lineRule="auto"/>
              <w:jc w:val="center"/>
              <w:rPr>
                <w:rFonts w:asciiTheme="majorBidi" w:hAnsiTheme="majorBidi" w:cstheme="majorBidi"/>
                <w:color w:val="000000"/>
                <w:sz w:val="16"/>
                <w:szCs w:val="16"/>
              </w:rPr>
            </w:pPr>
            <w:r w:rsidRPr="00BD4B00">
              <w:rPr>
                <w:rFonts w:asciiTheme="majorBidi" w:hAnsiTheme="majorBidi" w:cstheme="majorBidi"/>
                <w:color w:val="000000"/>
                <w:sz w:val="16"/>
                <w:szCs w:val="16"/>
              </w:rPr>
              <w:t>-37,7</w:t>
            </w:r>
          </w:p>
        </w:tc>
        <w:tc>
          <w:tcPr>
            <w:tcW w:w="0" w:type="auto"/>
            <w:tcBorders>
              <w:top w:val="nil"/>
              <w:left w:val="nil"/>
              <w:bottom w:val="single" w:sz="4" w:space="0" w:color="auto"/>
              <w:right w:val="single" w:sz="4" w:space="0" w:color="auto"/>
            </w:tcBorders>
            <w:shd w:val="clear" w:color="auto" w:fill="auto"/>
            <w:vAlign w:val="center"/>
            <w:hideMark/>
          </w:tcPr>
          <w:p w:rsidR="00352124" w:rsidRPr="00BD4B00" w:rsidRDefault="00352124" w:rsidP="00BD4B00">
            <w:pPr>
              <w:widowControl/>
              <w:autoSpaceDE/>
              <w:autoSpaceDN/>
              <w:adjustRightInd/>
              <w:spacing w:line="360" w:lineRule="auto"/>
              <w:jc w:val="center"/>
              <w:rPr>
                <w:rFonts w:asciiTheme="majorBidi" w:hAnsiTheme="majorBidi" w:cstheme="majorBidi"/>
                <w:color w:val="000000"/>
                <w:sz w:val="16"/>
                <w:szCs w:val="16"/>
              </w:rPr>
            </w:pPr>
            <w:r w:rsidRPr="00BD4B00">
              <w:rPr>
                <w:rFonts w:asciiTheme="majorBidi" w:hAnsiTheme="majorBidi" w:cstheme="majorBidi"/>
                <w:color w:val="000000"/>
                <w:sz w:val="16"/>
                <w:szCs w:val="16"/>
              </w:rPr>
              <w:t>-41,4</w:t>
            </w:r>
          </w:p>
        </w:tc>
        <w:tc>
          <w:tcPr>
            <w:tcW w:w="0" w:type="auto"/>
            <w:tcBorders>
              <w:top w:val="nil"/>
              <w:left w:val="nil"/>
              <w:bottom w:val="single" w:sz="4" w:space="0" w:color="auto"/>
              <w:right w:val="single" w:sz="4" w:space="0" w:color="auto"/>
            </w:tcBorders>
            <w:shd w:val="clear" w:color="auto" w:fill="auto"/>
            <w:vAlign w:val="center"/>
            <w:hideMark/>
          </w:tcPr>
          <w:p w:rsidR="00352124" w:rsidRPr="00BD4B00" w:rsidRDefault="00352124" w:rsidP="00BD4B00">
            <w:pPr>
              <w:widowControl/>
              <w:autoSpaceDE/>
              <w:autoSpaceDN/>
              <w:adjustRightInd/>
              <w:spacing w:line="360" w:lineRule="auto"/>
              <w:jc w:val="center"/>
              <w:rPr>
                <w:rFonts w:asciiTheme="majorBidi" w:hAnsiTheme="majorBidi" w:cstheme="majorBidi"/>
                <w:color w:val="000000"/>
                <w:sz w:val="16"/>
                <w:szCs w:val="16"/>
              </w:rPr>
            </w:pPr>
            <w:r w:rsidRPr="00BD4B00">
              <w:rPr>
                <w:rFonts w:asciiTheme="majorBidi" w:hAnsiTheme="majorBidi" w:cstheme="majorBidi"/>
                <w:color w:val="000000"/>
                <w:sz w:val="16"/>
                <w:szCs w:val="16"/>
              </w:rPr>
              <w:t>-36,3</w:t>
            </w:r>
          </w:p>
        </w:tc>
        <w:tc>
          <w:tcPr>
            <w:tcW w:w="0" w:type="auto"/>
            <w:tcBorders>
              <w:top w:val="nil"/>
              <w:left w:val="nil"/>
              <w:bottom w:val="single" w:sz="4" w:space="0" w:color="auto"/>
              <w:right w:val="single" w:sz="4" w:space="0" w:color="auto"/>
            </w:tcBorders>
            <w:shd w:val="clear" w:color="auto" w:fill="auto"/>
            <w:vAlign w:val="center"/>
            <w:hideMark/>
          </w:tcPr>
          <w:p w:rsidR="00352124" w:rsidRPr="00BD4B00" w:rsidRDefault="00352124" w:rsidP="00BD4B00">
            <w:pPr>
              <w:widowControl/>
              <w:autoSpaceDE/>
              <w:autoSpaceDN/>
              <w:adjustRightInd/>
              <w:spacing w:line="360" w:lineRule="auto"/>
              <w:jc w:val="center"/>
              <w:rPr>
                <w:rFonts w:asciiTheme="majorBidi" w:hAnsiTheme="majorBidi" w:cstheme="majorBidi"/>
                <w:color w:val="000000"/>
                <w:sz w:val="16"/>
                <w:szCs w:val="16"/>
              </w:rPr>
            </w:pPr>
            <w:r w:rsidRPr="00BD4B00">
              <w:rPr>
                <w:rFonts w:asciiTheme="majorBidi" w:hAnsiTheme="majorBidi" w:cstheme="majorBidi"/>
                <w:color w:val="000000"/>
                <w:sz w:val="16"/>
                <w:szCs w:val="16"/>
              </w:rPr>
              <w:t>-36,7</w:t>
            </w:r>
          </w:p>
        </w:tc>
        <w:tc>
          <w:tcPr>
            <w:tcW w:w="0" w:type="auto"/>
            <w:tcBorders>
              <w:top w:val="nil"/>
              <w:left w:val="nil"/>
              <w:bottom w:val="single" w:sz="4" w:space="0" w:color="auto"/>
              <w:right w:val="single" w:sz="4" w:space="0" w:color="auto"/>
            </w:tcBorders>
            <w:shd w:val="clear" w:color="auto" w:fill="auto"/>
            <w:vAlign w:val="center"/>
            <w:hideMark/>
          </w:tcPr>
          <w:p w:rsidR="00352124" w:rsidRPr="00BD4B00" w:rsidRDefault="00352124" w:rsidP="00BD4B00">
            <w:pPr>
              <w:widowControl/>
              <w:autoSpaceDE/>
              <w:autoSpaceDN/>
              <w:adjustRightInd/>
              <w:spacing w:line="360" w:lineRule="auto"/>
              <w:jc w:val="center"/>
              <w:rPr>
                <w:rFonts w:asciiTheme="majorBidi" w:hAnsiTheme="majorBidi" w:cstheme="majorBidi"/>
                <w:color w:val="000000"/>
                <w:sz w:val="16"/>
                <w:szCs w:val="16"/>
              </w:rPr>
            </w:pPr>
            <w:r w:rsidRPr="00BD4B00">
              <w:rPr>
                <w:rFonts w:asciiTheme="majorBidi" w:hAnsiTheme="majorBidi" w:cstheme="majorBidi"/>
                <w:color w:val="000000"/>
                <w:sz w:val="16"/>
                <w:szCs w:val="16"/>
              </w:rPr>
              <w:t>-30,2</w:t>
            </w:r>
          </w:p>
        </w:tc>
        <w:tc>
          <w:tcPr>
            <w:tcW w:w="0" w:type="auto"/>
            <w:tcBorders>
              <w:top w:val="nil"/>
              <w:left w:val="nil"/>
              <w:bottom w:val="single" w:sz="4" w:space="0" w:color="auto"/>
              <w:right w:val="single" w:sz="4" w:space="0" w:color="auto"/>
            </w:tcBorders>
            <w:shd w:val="clear" w:color="auto" w:fill="auto"/>
            <w:vAlign w:val="center"/>
            <w:hideMark/>
          </w:tcPr>
          <w:p w:rsidR="00352124" w:rsidRPr="00BD4B00" w:rsidRDefault="00352124" w:rsidP="00BD4B00">
            <w:pPr>
              <w:widowControl/>
              <w:autoSpaceDE/>
              <w:autoSpaceDN/>
              <w:adjustRightInd/>
              <w:spacing w:line="360" w:lineRule="auto"/>
              <w:jc w:val="center"/>
              <w:rPr>
                <w:rFonts w:asciiTheme="majorBidi" w:hAnsiTheme="majorBidi" w:cstheme="majorBidi"/>
                <w:color w:val="000000"/>
                <w:sz w:val="16"/>
                <w:szCs w:val="16"/>
              </w:rPr>
            </w:pPr>
            <w:r w:rsidRPr="00BD4B00">
              <w:rPr>
                <w:rFonts w:asciiTheme="majorBidi" w:hAnsiTheme="majorBidi" w:cstheme="majorBidi"/>
                <w:color w:val="000000"/>
                <w:sz w:val="16"/>
                <w:szCs w:val="16"/>
              </w:rPr>
              <w:t>-25,8</w:t>
            </w:r>
          </w:p>
        </w:tc>
        <w:tc>
          <w:tcPr>
            <w:tcW w:w="0" w:type="auto"/>
            <w:tcBorders>
              <w:top w:val="nil"/>
              <w:left w:val="nil"/>
              <w:bottom w:val="single" w:sz="4" w:space="0" w:color="auto"/>
              <w:right w:val="single" w:sz="4" w:space="0" w:color="auto"/>
            </w:tcBorders>
            <w:shd w:val="clear" w:color="auto" w:fill="auto"/>
            <w:vAlign w:val="center"/>
            <w:hideMark/>
          </w:tcPr>
          <w:p w:rsidR="00352124" w:rsidRPr="00BD4B00" w:rsidRDefault="00352124" w:rsidP="00BD4B00">
            <w:pPr>
              <w:widowControl/>
              <w:autoSpaceDE/>
              <w:autoSpaceDN/>
              <w:adjustRightInd/>
              <w:spacing w:line="360" w:lineRule="auto"/>
              <w:jc w:val="center"/>
              <w:rPr>
                <w:rFonts w:asciiTheme="majorBidi" w:hAnsiTheme="majorBidi" w:cstheme="majorBidi"/>
                <w:color w:val="000000"/>
                <w:sz w:val="16"/>
                <w:szCs w:val="16"/>
              </w:rPr>
            </w:pPr>
            <w:r w:rsidRPr="00BD4B00">
              <w:rPr>
                <w:rFonts w:asciiTheme="majorBidi" w:hAnsiTheme="majorBidi" w:cstheme="majorBidi"/>
                <w:color w:val="000000"/>
                <w:sz w:val="16"/>
                <w:szCs w:val="16"/>
              </w:rPr>
              <w:t>-27,2</w:t>
            </w:r>
          </w:p>
        </w:tc>
        <w:tc>
          <w:tcPr>
            <w:tcW w:w="0" w:type="auto"/>
            <w:tcBorders>
              <w:top w:val="nil"/>
              <w:left w:val="nil"/>
              <w:bottom w:val="single" w:sz="4" w:space="0" w:color="auto"/>
              <w:right w:val="single" w:sz="4" w:space="0" w:color="auto"/>
            </w:tcBorders>
            <w:shd w:val="clear" w:color="auto" w:fill="auto"/>
            <w:vAlign w:val="center"/>
            <w:hideMark/>
          </w:tcPr>
          <w:p w:rsidR="00352124" w:rsidRPr="00BD4B00" w:rsidRDefault="00352124" w:rsidP="00BD4B00">
            <w:pPr>
              <w:widowControl/>
              <w:autoSpaceDE/>
              <w:autoSpaceDN/>
              <w:adjustRightInd/>
              <w:spacing w:line="360" w:lineRule="auto"/>
              <w:jc w:val="center"/>
              <w:rPr>
                <w:rFonts w:asciiTheme="majorBidi" w:hAnsiTheme="majorBidi" w:cstheme="majorBidi"/>
                <w:color w:val="000000"/>
                <w:sz w:val="16"/>
                <w:szCs w:val="16"/>
              </w:rPr>
            </w:pPr>
            <w:r w:rsidRPr="00BD4B00">
              <w:rPr>
                <w:rFonts w:asciiTheme="majorBidi" w:hAnsiTheme="majorBidi" w:cstheme="majorBidi"/>
                <w:color w:val="000000"/>
                <w:sz w:val="16"/>
                <w:szCs w:val="16"/>
              </w:rPr>
              <w:t>-25,6</w:t>
            </w:r>
          </w:p>
        </w:tc>
        <w:tc>
          <w:tcPr>
            <w:tcW w:w="0" w:type="auto"/>
            <w:tcBorders>
              <w:top w:val="nil"/>
              <w:left w:val="nil"/>
              <w:bottom w:val="single" w:sz="4" w:space="0" w:color="auto"/>
              <w:right w:val="single" w:sz="4" w:space="0" w:color="auto"/>
            </w:tcBorders>
            <w:shd w:val="clear" w:color="auto" w:fill="auto"/>
            <w:vAlign w:val="center"/>
            <w:hideMark/>
          </w:tcPr>
          <w:p w:rsidR="00352124" w:rsidRPr="00BD4B00" w:rsidRDefault="00352124" w:rsidP="00BD4B00">
            <w:pPr>
              <w:widowControl/>
              <w:autoSpaceDE/>
              <w:autoSpaceDN/>
              <w:adjustRightInd/>
              <w:spacing w:line="360" w:lineRule="auto"/>
              <w:jc w:val="center"/>
              <w:rPr>
                <w:rFonts w:asciiTheme="majorBidi" w:hAnsiTheme="majorBidi" w:cstheme="majorBidi"/>
                <w:color w:val="000000"/>
                <w:sz w:val="16"/>
                <w:szCs w:val="16"/>
              </w:rPr>
            </w:pPr>
            <w:r w:rsidRPr="00BD4B00">
              <w:rPr>
                <w:rFonts w:asciiTheme="majorBidi" w:hAnsiTheme="majorBidi" w:cstheme="majorBidi"/>
                <w:color w:val="000000"/>
                <w:sz w:val="16"/>
                <w:szCs w:val="16"/>
              </w:rPr>
              <w:t>-31,5</w:t>
            </w:r>
          </w:p>
        </w:tc>
        <w:tc>
          <w:tcPr>
            <w:tcW w:w="0" w:type="auto"/>
            <w:tcBorders>
              <w:top w:val="nil"/>
              <w:left w:val="nil"/>
              <w:bottom w:val="single" w:sz="4" w:space="0" w:color="auto"/>
              <w:right w:val="single" w:sz="4" w:space="0" w:color="auto"/>
            </w:tcBorders>
            <w:shd w:val="clear" w:color="auto" w:fill="auto"/>
            <w:vAlign w:val="center"/>
            <w:hideMark/>
          </w:tcPr>
          <w:p w:rsidR="00352124" w:rsidRPr="00BD4B00" w:rsidRDefault="00352124" w:rsidP="00BD4B00">
            <w:pPr>
              <w:widowControl/>
              <w:autoSpaceDE/>
              <w:autoSpaceDN/>
              <w:adjustRightInd/>
              <w:spacing w:line="360" w:lineRule="auto"/>
              <w:jc w:val="center"/>
              <w:rPr>
                <w:rFonts w:asciiTheme="majorBidi" w:hAnsiTheme="majorBidi" w:cstheme="majorBidi"/>
                <w:color w:val="000000"/>
                <w:sz w:val="16"/>
                <w:szCs w:val="16"/>
              </w:rPr>
            </w:pPr>
            <w:r w:rsidRPr="00BD4B00">
              <w:rPr>
                <w:rFonts w:asciiTheme="majorBidi" w:hAnsiTheme="majorBidi" w:cstheme="majorBidi"/>
                <w:color w:val="000000"/>
                <w:sz w:val="16"/>
                <w:szCs w:val="16"/>
              </w:rPr>
              <w:t>-28,2</w:t>
            </w:r>
          </w:p>
        </w:tc>
        <w:tc>
          <w:tcPr>
            <w:tcW w:w="0" w:type="auto"/>
            <w:tcBorders>
              <w:top w:val="nil"/>
              <w:left w:val="nil"/>
              <w:bottom w:val="single" w:sz="4" w:space="0" w:color="auto"/>
              <w:right w:val="single" w:sz="4" w:space="0" w:color="auto"/>
            </w:tcBorders>
            <w:shd w:val="clear" w:color="auto" w:fill="auto"/>
            <w:vAlign w:val="center"/>
            <w:hideMark/>
          </w:tcPr>
          <w:p w:rsidR="00352124" w:rsidRPr="00BD4B00" w:rsidRDefault="00352124" w:rsidP="00BD4B00">
            <w:pPr>
              <w:widowControl/>
              <w:autoSpaceDE/>
              <w:autoSpaceDN/>
              <w:adjustRightInd/>
              <w:spacing w:line="360" w:lineRule="auto"/>
              <w:jc w:val="center"/>
              <w:rPr>
                <w:rFonts w:asciiTheme="majorBidi" w:hAnsiTheme="majorBidi" w:cstheme="majorBidi"/>
                <w:color w:val="000000"/>
                <w:sz w:val="16"/>
                <w:szCs w:val="16"/>
              </w:rPr>
            </w:pPr>
            <w:r w:rsidRPr="00BD4B00">
              <w:rPr>
                <w:rFonts w:asciiTheme="majorBidi" w:hAnsiTheme="majorBidi" w:cstheme="majorBidi"/>
                <w:color w:val="000000"/>
                <w:sz w:val="16"/>
                <w:szCs w:val="16"/>
              </w:rPr>
              <w:t>-40</w:t>
            </w:r>
          </w:p>
        </w:tc>
        <w:tc>
          <w:tcPr>
            <w:tcW w:w="0" w:type="auto"/>
            <w:tcBorders>
              <w:top w:val="nil"/>
              <w:left w:val="nil"/>
              <w:bottom w:val="single" w:sz="4" w:space="0" w:color="auto"/>
              <w:right w:val="single" w:sz="4" w:space="0" w:color="auto"/>
            </w:tcBorders>
            <w:shd w:val="clear" w:color="auto" w:fill="auto"/>
            <w:vAlign w:val="center"/>
            <w:hideMark/>
          </w:tcPr>
          <w:p w:rsidR="00352124" w:rsidRPr="00BD4B00" w:rsidRDefault="00352124" w:rsidP="00BD4B00">
            <w:pPr>
              <w:widowControl/>
              <w:autoSpaceDE/>
              <w:autoSpaceDN/>
              <w:adjustRightInd/>
              <w:spacing w:line="360" w:lineRule="auto"/>
              <w:jc w:val="center"/>
              <w:rPr>
                <w:rFonts w:asciiTheme="majorBidi" w:hAnsiTheme="majorBidi" w:cstheme="majorBidi"/>
                <w:color w:val="000000"/>
                <w:sz w:val="16"/>
                <w:szCs w:val="16"/>
              </w:rPr>
            </w:pPr>
            <w:r w:rsidRPr="00BD4B00">
              <w:rPr>
                <w:rFonts w:asciiTheme="majorBidi" w:hAnsiTheme="majorBidi" w:cstheme="majorBidi"/>
                <w:color w:val="000000"/>
                <w:sz w:val="16"/>
                <w:szCs w:val="16"/>
              </w:rPr>
              <w:t>-43</w:t>
            </w:r>
          </w:p>
        </w:tc>
        <w:tc>
          <w:tcPr>
            <w:tcW w:w="0" w:type="auto"/>
            <w:tcBorders>
              <w:top w:val="nil"/>
              <w:left w:val="nil"/>
              <w:bottom w:val="single" w:sz="4" w:space="0" w:color="auto"/>
              <w:right w:val="single" w:sz="4" w:space="0" w:color="auto"/>
            </w:tcBorders>
            <w:shd w:val="clear" w:color="auto" w:fill="auto"/>
            <w:vAlign w:val="center"/>
            <w:hideMark/>
          </w:tcPr>
          <w:p w:rsidR="00352124" w:rsidRPr="00BD4B00" w:rsidRDefault="00352124" w:rsidP="00BD4B00">
            <w:pPr>
              <w:widowControl/>
              <w:autoSpaceDE/>
              <w:autoSpaceDN/>
              <w:adjustRightInd/>
              <w:spacing w:line="360" w:lineRule="auto"/>
              <w:jc w:val="center"/>
              <w:rPr>
                <w:rFonts w:asciiTheme="majorBidi" w:hAnsiTheme="majorBidi" w:cstheme="majorBidi"/>
                <w:color w:val="000000"/>
                <w:sz w:val="16"/>
                <w:szCs w:val="16"/>
              </w:rPr>
            </w:pPr>
            <w:r w:rsidRPr="00BD4B00">
              <w:rPr>
                <w:rFonts w:asciiTheme="majorBidi" w:hAnsiTheme="majorBidi" w:cstheme="majorBidi"/>
                <w:color w:val="000000"/>
                <w:sz w:val="16"/>
                <w:szCs w:val="16"/>
              </w:rPr>
              <w:t>-40,5</w:t>
            </w:r>
          </w:p>
        </w:tc>
        <w:tc>
          <w:tcPr>
            <w:tcW w:w="0" w:type="auto"/>
            <w:tcBorders>
              <w:top w:val="nil"/>
              <w:left w:val="nil"/>
              <w:bottom w:val="single" w:sz="4" w:space="0" w:color="auto"/>
              <w:right w:val="single" w:sz="4" w:space="0" w:color="auto"/>
            </w:tcBorders>
            <w:shd w:val="clear" w:color="auto" w:fill="auto"/>
            <w:vAlign w:val="center"/>
            <w:hideMark/>
          </w:tcPr>
          <w:p w:rsidR="00352124" w:rsidRPr="00BD4B00" w:rsidRDefault="00352124" w:rsidP="00BD4B00">
            <w:pPr>
              <w:widowControl/>
              <w:autoSpaceDE/>
              <w:autoSpaceDN/>
              <w:adjustRightInd/>
              <w:spacing w:line="360" w:lineRule="auto"/>
              <w:jc w:val="center"/>
              <w:rPr>
                <w:rFonts w:asciiTheme="majorBidi" w:hAnsiTheme="majorBidi" w:cstheme="majorBidi"/>
                <w:color w:val="000000"/>
                <w:sz w:val="16"/>
                <w:szCs w:val="16"/>
              </w:rPr>
            </w:pPr>
            <w:r w:rsidRPr="00BD4B00">
              <w:rPr>
                <w:rFonts w:asciiTheme="majorBidi" w:hAnsiTheme="majorBidi" w:cstheme="majorBidi"/>
                <w:color w:val="000000"/>
                <w:sz w:val="16"/>
                <w:szCs w:val="16"/>
              </w:rPr>
              <w:t>-34,8</w:t>
            </w:r>
          </w:p>
        </w:tc>
        <w:tc>
          <w:tcPr>
            <w:tcW w:w="0" w:type="auto"/>
            <w:tcBorders>
              <w:top w:val="nil"/>
              <w:left w:val="nil"/>
              <w:bottom w:val="single" w:sz="4" w:space="0" w:color="auto"/>
              <w:right w:val="single" w:sz="4" w:space="0" w:color="auto"/>
            </w:tcBorders>
            <w:shd w:val="clear" w:color="auto" w:fill="auto"/>
            <w:vAlign w:val="center"/>
            <w:hideMark/>
          </w:tcPr>
          <w:p w:rsidR="00352124" w:rsidRPr="00BD4B00" w:rsidRDefault="00352124" w:rsidP="00BD4B00">
            <w:pPr>
              <w:widowControl/>
              <w:autoSpaceDE/>
              <w:autoSpaceDN/>
              <w:adjustRightInd/>
              <w:spacing w:line="360" w:lineRule="auto"/>
              <w:jc w:val="center"/>
              <w:rPr>
                <w:rFonts w:asciiTheme="majorBidi" w:hAnsiTheme="majorBidi" w:cstheme="majorBidi"/>
                <w:color w:val="000000"/>
                <w:sz w:val="16"/>
                <w:szCs w:val="16"/>
              </w:rPr>
            </w:pPr>
            <w:r w:rsidRPr="00BD4B00">
              <w:rPr>
                <w:rFonts w:asciiTheme="majorBidi" w:hAnsiTheme="majorBidi" w:cstheme="majorBidi"/>
                <w:color w:val="000000"/>
                <w:sz w:val="16"/>
                <w:szCs w:val="16"/>
              </w:rPr>
              <w:t>-40,2</w:t>
            </w:r>
          </w:p>
        </w:tc>
        <w:tc>
          <w:tcPr>
            <w:tcW w:w="0" w:type="auto"/>
            <w:tcBorders>
              <w:top w:val="nil"/>
              <w:left w:val="nil"/>
              <w:bottom w:val="single" w:sz="4" w:space="0" w:color="auto"/>
              <w:right w:val="single" w:sz="4" w:space="0" w:color="auto"/>
            </w:tcBorders>
            <w:shd w:val="clear" w:color="auto" w:fill="auto"/>
            <w:vAlign w:val="center"/>
            <w:hideMark/>
          </w:tcPr>
          <w:p w:rsidR="00352124" w:rsidRPr="00BD4B00" w:rsidRDefault="00352124" w:rsidP="00BD4B00">
            <w:pPr>
              <w:widowControl/>
              <w:autoSpaceDE/>
              <w:autoSpaceDN/>
              <w:bidi/>
              <w:adjustRightInd/>
              <w:spacing w:line="360" w:lineRule="auto"/>
              <w:rPr>
                <w:rFonts w:asciiTheme="majorBidi" w:hAnsiTheme="majorBidi" w:cstheme="majorBidi"/>
                <w:b/>
                <w:bCs/>
                <w:color w:val="000000"/>
                <w:sz w:val="16"/>
                <w:szCs w:val="16"/>
              </w:rPr>
            </w:pPr>
            <w:r w:rsidRPr="00BD4B00">
              <w:rPr>
                <w:rFonts w:asciiTheme="majorBidi" w:hAnsiTheme="majorBidi" w:cstheme="majorBidi"/>
                <w:b/>
                <w:bCs/>
                <w:color w:val="000000"/>
                <w:sz w:val="16"/>
                <w:szCs w:val="16"/>
                <w:rtl/>
              </w:rPr>
              <w:t>فرص اقتناء السلع المستديمة</w:t>
            </w:r>
          </w:p>
        </w:tc>
      </w:tr>
      <w:tr w:rsidR="00696211" w:rsidRPr="00BD4B00" w:rsidTr="00BD4B00">
        <w:trPr>
          <w:trHeight w:val="591"/>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352124" w:rsidRPr="00BD4B00" w:rsidRDefault="00352124" w:rsidP="00BD4B00">
            <w:pPr>
              <w:widowControl/>
              <w:autoSpaceDE/>
              <w:autoSpaceDN/>
              <w:adjustRightInd/>
              <w:spacing w:line="360" w:lineRule="auto"/>
              <w:jc w:val="center"/>
              <w:rPr>
                <w:rFonts w:asciiTheme="majorBidi" w:hAnsiTheme="majorBidi" w:cstheme="majorBidi"/>
                <w:color w:val="000000"/>
                <w:sz w:val="16"/>
                <w:szCs w:val="16"/>
              </w:rPr>
            </w:pPr>
            <w:r w:rsidRPr="00BD4B00">
              <w:rPr>
                <w:rFonts w:asciiTheme="majorBidi" w:hAnsiTheme="majorBidi" w:cstheme="majorBidi"/>
                <w:color w:val="000000"/>
                <w:sz w:val="16"/>
                <w:szCs w:val="16"/>
              </w:rPr>
              <w:t>-</w:t>
            </w:r>
            <w:r w:rsidR="00474052" w:rsidRPr="00BD4B00">
              <w:rPr>
                <w:rFonts w:asciiTheme="majorBidi" w:hAnsiTheme="majorBidi" w:cstheme="majorBidi"/>
                <w:color w:val="000000"/>
                <w:sz w:val="16"/>
                <w:szCs w:val="16"/>
                <w:rtl/>
              </w:rPr>
              <w:t>42,0</w:t>
            </w:r>
          </w:p>
        </w:tc>
        <w:tc>
          <w:tcPr>
            <w:tcW w:w="590" w:type="dxa"/>
            <w:tcBorders>
              <w:top w:val="nil"/>
              <w:left w:val="nil"/>
              <w:bottom w:val="single" w:sz="4" w:space="0" w:color="auto"/>
              <w:right w:val="single" w:sz="4" w:space="0" w:color="auto"/>
            </w:tcBorders>
            <w:shd w:val="clear" w:color="auto" w:fill="auto"/>
            <w:vAlign w:val="center"/>
            <w:hideMark/>
          </w:tcPr>
          <w:p w:rsidR="00352124" w:rsidRPr="00BD4B00" w:rsidRDefault="00352124" w:rsidP="00BD4B00">
            <w:pPr>
              <w:widowControl/>
              <w:autoSpaceDE/>
              <w:autoSpaceDN/>
              <w:adjustRightInd/>
              <w:spacing w:line="360" w:lineRule="auto"/>
              <w:jc w:val="center"/>
              <w:rPr>
                <w:rFonts w:asciiTheme="majorBidi" w:hAnsiTheme="majorBidi" w:cstheme="majorBidi"/>
                <w:color w:val="000000"/>
                <w:sz w:val="16"/>
                <w:szCs w:val="16"/>
              </w:rPr>
            </w:pPr>
            <w:r w:rsidRPr="00BD4B00">
              <w:rPr>
                <w:rFonts w:asciiTheme="majorBidi" w:hAnsiTheme="majorBidi" w:cstheme="majorBidi"/>
                <w:color w:val="000000"/>
                <w:sz w:val="16"/>
                <w:szCs w:val="16"/>
              </w:rPr>
              <w:t>-40,9</w:t>
            </w:r>
          </w:p>
        </w:tc>
        <w:tc>
          <w:tcPr>
            <w:tcW w:w="0" w:type="auto"/>
            <w:tcBorders>
              <w:top w:val="nil"/>
              <w:left w:val="nil"/>
              <w:bottom w:val="single" w:sz="4" w:space="0" w:color="auto"/>
              <w:right w:val="single" w:sz="4" w:space="0" w:color="auto"/>
            </w:tcBorders>
            <w:shd w:val="clear" w:color="auto" w:fill="auto"/>
            <w:vAlign w:val="center"/>
            <w:hideMark/>
          </w:tcPr>
          <w:p w:rsidR="00352124" w:rsidRPr="00BD4B00" w:rsidRDefault="00352124" w:rsidP="00BD4B00">
            <w:pPr>
              <w:widowControl/>
              <w:autoSpaceDE/>
              <w:autoSpaceDN/>
              <w:adjustRightInd/>
              <w:spacing w:line="360" w:lineRule="auto"/>
              <w:jc w:val="center"/>
              <w:rPr>
                <w:rFonts w:asciiTheme="majorBidi" w:hAnsiTheme="majorBidi" w:cstheme="majorBidi"/>
                <w:color w:val="000000"/>
                <w:sz w:val="16"/>
                <w:szCs w:val="16"/>
              </w:rPr>
            </w:pPr>
            <w:r w:rsidRPr="00BD4B00">
              <w:rPr>
                <w:rFonts w:asciiTheme="majorBidi" w:hAnsiTheme="majorBidi" w:cstheme="majorBidi"/>
                <w:color w:val="000000"/>
                <w:sz w:val="16"/>
                <w:szCs w:val="16"/>
              </w:rPr>
              <w:t>-42,9</w:t>
            </w:r>
          </w:p>
        </w:tc>
        <w:tc>
          <w:tcPr>
            <w:tcW w:w="0" w:type="auto"/>
            <w:tcBorders>
              <w:top w:val="nil"/>
              <w:left w:val="nil"/>
              <w:bottom w:val="single" w:sz="4" w:space="0" w:color="auto"/>
              <w:right w:val="single" w:sz="4" w:space="0" w:color="auto"/>
            </w:tcBorders>
            <w:shd w:val="clear" w:color="auto" w:fill="auto"/>
            <w:vAlign w:val="center"/>
            <w:hideMark/>
          </w:tcPr>
          <w:p w:rsidR="00352124" w:rsidRPr="00BD4B00" w:rsidRDefault="00352124" w:rsidP="00BD4B00">
            <w:pPr>
              <w:widowControl/>
              <w:autoSpaceDE/>
              <w:autoSpaceDN/>
              <w:adjustRightInd/>
              <w:spacing w:line="360" w:lineRule="auto"/>
              <w:jc w:val="center"/>
              <w:rPr>
                <w:rFonts w:asciiTheme="majorBidi" w:hAnsiTheme="majorBidi" w:cstheme="majorBidi"/>
                <w:color w:val="000000"/>
                <w:sz w:val="16"/>
                <w:szCs w:val="16"/>
              </w:rPr>
            </w:pPr>
            <w:r w:rsidRPr="00BD4B00">
              <w:rPr>
                <w:rFonts w:asciiTheme="majorBidi" w:hAnsiTheme="majorBidi" w:cstheme="majorBidi"/>
                <w:color w:val="000000"/>
                <w:sz w:val="16"/>
                <w:szCs w:val="16"/>
              </w:rPr>
              <w:t>-43,4</w:t>
            </w:r>
          </w:p>
        </w:tc>
        <w:tc>
          <w:tcPr>
            <w:tcW w:w="0" w:type="auto"/>
            <w:tcBorders>
              <w:top w:val="nil"/>
              <w:left w:val="nil"/>
              <w:bottom w:val="single" w:sz="4" w:space="0" w:color="auto"/>
              <w:right w:val="single" w:sz="4" w:space="0" w:color="auto"/>
            </w:tcBorders>
            <w:shd w:val="clear" w:color="auto" w:fill="auto"/>
            <w:vAlign w:val="center"/>
            <w:hideMark/>
          </w:tcPr>
          <w:p w:rsidR="00352124" w:rsidRPr="00BD4B00" w:rsidRDefault="00352124" w:rsidP="00BD4B00">
            <w:pPr>
              <w:widowControl/>
              <w:autoSpaceDE/>
              <w:autoSpaceDN/>
              <w:adjustRightInd/>
              <w:spacing w:line="360" w:lineRule="auto"/>
              <w:jc w:val="center"/>
              <w:rPr>
                <w:rFonts w:asciiTheme="majorBidi" w:hAnsiTheme="majorBidi" w:cstheme="majorBidi"/>
                <w:color w:val="000000"/>
                <w:sz w:val="16"/>
                <w:szCs w:val="16"/>
              </w:rPr>
            </w:pPr>
            <w:r w:rsidRPr="00BD4B00">
              <w:rPr>
                <w:rFonts w:asciiTheme="majorBidi" w:hAnsiTheme="majorBidi" w:cstheme="majorBidi"/>
                <w:color w:val="000000"/>
                <w:sz w:val="16"/>
                <w:szCs w:val="16"/>
              </w:rPr>
              <w:t>-40,4</w:t>
            </w:r>
          </w:p>
        </w:tc>
        <w:tc>
          <w:tcPr>
            <w:tcW w:w="0" w:type="auto"/>
            <w:tcBorders>
              <w:top w:val="nil"/>
              <w:left w:val="nil"/>
              <w:bottom w:val="single" w:sz="4" w:space="0" w:color="auto"/>
              <w:right w:val="single" w:sz="4" w:space="0" w:color="auto"/>
            </w:tcBorders>
            <w:shd w:val="clear" w:color="auto" w:fill="auto"/>
            <w:vAlign w:val="center"/>
            <w:hideMark/>
          </w:tcPr>
          <w:p w:rsidR="00352124" w:rsidRPr="00BD4B00" w:rsidRDefault="00352124" w:rsidP="00BD4B00">
            <w:pPr>
              <w:widowControl/>
              <w:autoSpaceDE/>
              <w:autoSpaceDN/>
              <w:adjustRightInd/>
              <w:spacing w:line="360" w:lineRule="auto"/>
              <w:jc w:val="center"/>
              <w:rPr>
                <w:rFonts w:asciiTheme="majorBidi" w:hAnsiTheme="majorBidi" w:cstheme="majorBidi"/>
                <w:color w:val="000000"/>
                <w:sz w:val="16"/>
                <w:szCs w:val="16"/>
              </w:rPr>
            </w:pPr>
            <w:r w:rsidRPr="00BD4B00">
              <w:rPr>
                <w:rFonts w:asciiTheme="majorBidi" w:hAnsiTheme="majorBidi" w:cstheme="majorBidi"/>
                <w:color w:val="000000"/>
                <w:sz w:val="16"/>
                <w:szCs w:val="16"/>
              </w:rPr>
              <w:t>-36,4</w:t>
            </w:r>
          </w:p>
        </w:tc>
        <w:tc>
          <w:tcPr>
            <w:tcW w:w="0" w:type="auto"/>
            <w:tcBorders>
              <w:top w:val="nil"/>
              <w:left w:val="nil"/>
              <w:bottom w:val="single" w:sz="4" w:space="0" w:color="auto"/>
              <w:right w:val="single" w:sz="4" w:space="0" w:color="auto"/>
            </w:tcBorders>
            <w:shd w:val="clear" w:color="auto" w:fill="auto"/>
            <w:vAlign w:val="center"/>
            <w:hideMark/>
          </w:tcPr>
          <w:p w:rsidR="00352124" w:rsidRPr="00BD4B00" w:rsidRDefault="00352124" w:rsidP="00BD4B00">
            <w:pPr>
              <w:widowControl/>
              <w:autoSpaceDE/>
              <w:autoSpaceDN/>
              <w:adjustRightInd/>
              <w:spacing w:line="360" w:lineRule="auto"/>
              <w:jc w:val="center"/>
              <w:rPr>
                <w:rFonts w:asciiTheme="majorBidi" w:hAnsiTheme="majorBidi" w:cstheme="majorBidi"/>
                <w:color w:val="000000"/>
                <w:sz w:val="16"/>
                <w:szCs w:val="16"/>
              </w:rPr>
            </w:pPr>
            <w:r w:rsidRPr="00BD4B00">
              <w:rPr>
                <w:rFonts w:asciiTheme="majorBidi" w:hAnsiTheme="majorBidi" w:cstheme="majorBidi"/>
                <w:color w:val="000000"/>
                <w:sz w:val="16"/>
                <w:szCs w:val="16"/>
              </w:rPr>
              <w:t>-38</w:t>
            </w:r>
          </w:p>
        </w:tc>
        <w:tc>
          <w:tcPr>
            <w:tcW w:w="0" w:type="auto"/>
            <w:tcBorders>
              <w:top w:val="nil"/>
              <w:left w:val="nil"/>
              <w:bottom w:val="single" w:sz="4" w:space="0" w:color="auto"/>
              <w:right w:val="single" w:sz="4" w:space="0" w:color="auto"/>
            </w:tcBorders>
            <w:shd w:val="clear" w:color="auto" w:fill="auto"/>
            <w:vAlign w:val="center"/>
            <w:hideMark/>
          </w:tcPr>
          <w:p w:rsidR="00352124" w:rsidRPr="00BD4B00" w:rsidRDefault="00352124" w:rsidP="00BD4B00">
            <w:pPr>
              <w:widowControl/>
              <w:autoSpaceDE/>
              <w:autoSpaceDN/>
              <w:adjustRightInd/>
              <w:spacing w:line="360" w:lineRule="auto"/>
              <w:jc w:val="center"/>
              <w:rPr>
                <w:rFonts w:asciiTheme="majorBidi" w:hAnsiTheme="majorBidi" w:cstheme="majorBidi"/>
                <w:color w:val="000000"/>
                <w:sz w:val="16"/>
                <w:szCs w:val="16"/>
              </w:rPr>
            </w:pPr>
            <w:r w:rsidRPr="00BD4B00">
              <w:rPr>
                <w:rFonts w:asciiTheme="majorBidi" w:hAnsiTheme="majorBidi" w:cstheme="majorBidi"/>
                <w:color w:val="000000"/>
                <w:sz w:val="16"/>
                <w:szCs w:val="16"/>
              </w:rPr>
              <w:t>-34,4</w:t>
            </w:r>
          </w:p>
        </w:tc>
        <w:tc>
          <w:tcPr>
            <w:tcW w:w="0" w:type="auto"/>
            <w:tcBorders>
              <w:top w:val="nil"/>
              <w:left w:val="nil"/>
              <w:bottom w:val="single" w:sz="4" w:space="0" w:color="auto"/>
              <w:right w:val="single" w:sz="4" w:space="0" w:color="auto"/>
            </w:tcBorders>
            <w:shd w:val="clear" w:color="auto" w:fill="auto"/>
            <w:vAlign w:val="center"/>
            <w:hideMark/>
          </w:tcPr>
          <w:p w:rsidR="00352124" w:rsidRPr="00BD4B00" w:rsidRDefault="00352124" w:rsidP="00BD4B00">
            <w:pPr>
              <w:widowControl/>
              <w:autoSpaceDE/>
              <w:autoSpaceDN/>
              <w:adjustRightInd/>
              <w:spacing w:line="360" w:lineRule="auto"/>
              <w:jc w:val="center"/>
              <w:rPr>
                <w:rFonts w:asciiTheme="majorBidi" w:hAnsiTheme="majorBidi" w:cstheme="majorBidi"/>
                <w:color w:val="000000"/>
                <w:sz w:val="16"/>
                <w:szCs w:val="16"/>
              </w:rPr>
            </w:pPr>
            <w:r w:rsidRPr="00BD4B00">
              <w:rPr>
                <w:rFonts w:asciiTheme="majorBidi" w:hAnsiTheme="majorBidi" w:cstheme="majorBidi"/>
                <w:color w:val="000000"/>
                <w:sz w:val="16"/>
                <w:szCs w:val="16"/>
              </w:rPr>
              <w:t>-29,1</w:t>
            </w:r>
          </w:p>
        </w:tc>
        <w:tc>
          <w:tcPr>
            <w:tcW w:w="0" w:type="auto"/>
            <w:tcBorders>
              <w:top w:val="nil"/>
              <w:left w:val="nil"/>
              <w:bottom w:val="single" w:sz="4" w:space="0" w:color="auto"/>
              <w:right w:val="single" w:sz="4" w:space="0" w:color="auto"/>
            </w:tcBorders>
            <w:shd w:val="clear" w:color="auto" w:fill="auto"/>
            <w:vAlign w:val="center"/>
            <w:hideMark/>
          </w:tcPr>
          <w:p w:rsidR="00352124" w:rsidRPr="00BD4B00" w:rsidRDefault="00352124" w:rsidP="00BD4B00">
            <w:pPr>
              <w:widowControl/>
              <w:autoSpaceDE/>
              <w:autoSpaceDN/>
              <w:adjustRightInd/>
              <w:spacing w:line="360" w:lineRule="auto"/>
              <w:jc w:val="center"/>
              <w:rPr>
                <w:rFonts w:asciiTheme="majorBidi" w:hAnsiTheme="majorBidi" w:cstheme="majorBidi"/>
                <w:color w:val="000000"/>
                <w:sz w:val="16"/>
                <w:szCs w:val="16"/>
              </w:rPr>
            </w:pPr>
            <w:r w:rsidRPr="00BD4B00">
              <w:rPr>
                <w:rFonts w:asciiTheme="majorBidi" w:hAnsiTheme="majorBidi" w:cstheme="majorBidi"/>
                <w:color w:val="000000"/>
                <w:sz w:val="16"/>
                <w:szCs w:val="16"/>
              </w:rPr>
              <w:t>-31,5</w:t>
            </w:r>
          </w:p>
        </w:tc>
        <w:tc>
          <w:tcPr>
            <w:tcW w:w="0" w:type="auto"/>
            <w:tcBorders>
              <w:top w:val="nil"/>
              <w:left w:val="nil"/>
              <w:bottom w:val="single" w:sz="4" w:space="0" w:color="auto"/>
              <w:right w:val="single" w:sz="4" w:space="0" w:color="auto"/>
            </w:tcBorders>
            <w:shd w:val="clear" w:color="auto" w:fill="auto"/>
            <w:vAlign w:val="center"/>
            <w:hideMark/>
          </w:tcPr>
          <w:p w:rsidR="00352124" w:rsidRPr="00BD4B00" w:rsidRDefault="00352124" w:rsidP="00BD4B00">
            <w:pPr>
              <w:widowControl/>
              <w:autoSpaceDE/>
              <w:autoSpaceDN/>
              <w:adjustRightInd/>
              <w:spacing w:line="360" w:lineRule="auto"/>
              <w:jc w:val="center"/>
              <w:rPr>
                <w:rFonts w:asciiTheme="majorBidi" w:hAnsiTheme="majorBidi" w:cstheme="majorBidi"/>
                <w:color w:val="000000"/>
                <w:sz w:val="16"/>
                <w:szCs w:val="16"/>
              </w:rPr>
            </w:pPr>
            <w:r w:rsidRPr="00BD4B00">
              <w:rPr>
                <w:rFonts w:asciiTheme="majorBidi" w:hAnsiTheme="majorBidi" w:cstheme="majorBidi"/>
                <w:color w:val="000000"/>
                <w:sz w:val="16"/>
                <w:szCs w:val="16"/>
              </w:rPr>
              <w:t>-30</w:t>
            </w:r>
          </w:p>
        </w:tc>
        <w:tc>
          <w:tcPr>
            <w:tcW w:w="0" w:type="auto"/>
            <w:tcBorders>
              <w:top w:val="nil"/>
              <w:left w:val="nil"/>
              <w:bottom w:val="single" w:sz="4" w:space="0" w:color="auto"/>
              <w:right w:val="single" w:sz="4" w:space="0" w:color="auto"/>
            </w:tcBorders>
            <w:shd w:val="clear" w:color="auto" w:fill="auto"/>
            <w:vAlign w:val="center"/>
            <w:hideMark/>
          </w:tcPr>
          <w:p w:rsidR="00352124" w:rsidRPr="00BD4B00" w:rsidRDefault="00352124" w:rsidP="00BD4B00">
            <w:pPr>
              <w:widowControl/>
              <w:autoSpaceDE/>
              <w:autoSpaceDN/>
              <w:adjustRightInd/>
              <w:spacing w:line="360" w:lineRule="auto"/>
              <w:jc w:val="center"/>
              <w:rPr>
                <w:rFonts w:asciiTheme="majorBidi" w:hAnsiTheme="majorBidi" w:cstheme="majorBidi"/>
                <w:color w:val="000000"/>
                <w:sz w:val="16"/>
                <w:szCs w:val="16"/>
              </w:rPr>
            </w:pPr>
            <w:r w:rsidRPr="00BD4B00">
              <w:rPr>
                <w:rFonts w:asciiTheme="majorBidi" w:hAnsiTheme="majorBidi" w:cstheme="majorBidi"/>
                <w:color w:val="000000"/>
                <w:sz w:val="16"/>
                <w:szCs w:val="16"/>
              </w:rPr>
              <w:t>-27,7</w:t>
            </w:r>
          </w:p>
        </w:tc>
        <w:tc>
          <w:tcPr>
            <w:tcW w:w="0" w:type="auto"/>
            <w:tcBorders>
              <w:top w:val="nil"/>
              <w:left w:val="nil"/>
              <w:bottom w:val="single" w:sz="4" w:space="0" w:color="auto"/>
              <w:right w:val="single" w:sz="4" w:space="0" w:color="auto"/>
            </w:tcBorders>
            <w:shd w:val="clear" w:color="auto" w:fill="auto"/>
            <w:vAlign w:val="center"/>
            <w:hideMark/>
          </w:tcPr>
          <w:p w:rsidR="00352124" w:rsidRPr="00BD4B00" w:rsidRDefault="00352124" w:rsidP="00BD4B00">
            <w:pPr>
              <w:widowControl/>
              <w:autoSpaceDE/>
              <w:autoSpaceDN/>
              <w:adjustRightInd/>
              <w:spacing w:line="360" w:lineRule="auto"/>
              <w:jc w:val="center"/>
              <w:rPr>
                <w:rFonts w:asciiTheme="majorBidi" w:hAnsiTheme="majorBidi" w:cstheme="majorBidi"/>
                <w:color w:val="000000"/>
                <w:sz w:val="16"/>
                <w:szCs w:val="16"/>
              </w:rPr>
            </w:pPr>
            <w:r w:rsidRPr="00BD4B00">
              <w:rPr>
                <w:rFonts w:asciiTheme="majorBidi" w:hAnsiTheme="majorBidi" w:cstheme="majorBidi"/>
                <w:color w:val="000000"/>
                <w:sz w:val="16"/>
                <w:szCs w:val="16"/>
              </w:rPr>
              <w:t>-26,4</w:t>
            </w:r>
          </w:p>
        </w:tc>
        <w:tc>
          <w:tcPr>
            <w:tcW w:w="0" w:type="auto"/>
            <w:tcBorders>
              <w:top w:val="nil"/>
              <w:left w:val="nil"/>
              <w:bottom w:val="single" w:sz="4" w:space="0" w:color="auto"/>
              <w:right w:val="single" w:sz="4" w:space="0" w:color="auto"/>
            </w:tcBorders>
            <w:shd w:val="clear" w:color="auto" w:fill="auto"/>
            <w:vAlign w:val="center"/>
            <w:hideMark/>
          </w:tcPr>
          <w:p w:rsidR="00352124" w:rsidRPr="00BD4B00" w:rsidRDefault="00352124" w:rsidP="00BD4B00">
            <w:pPr>
              <w:widowControl/>
              <w:autoSpaceDE/>
              <w:autoSpaceDN/>
              <w:adjustRightInd/>
              <w:spacing w:line="360" w:lineRule="auto"/>
              <w:jc w:val="center"/>
              <w:rPr>
                <w:rFonts w:asciiTheme="majorBidi" w:hAnsiTheme="majorBidi" w:cstheme="majorBidi"/>
                <w:color w:val="000000"/>
                <w:sz w:val="16"/>
                <w:szCs w:val="16"/>
              </w:rPr>
            </w:pPr>
            <w:r w:rsidRPr="00BD4B00">
              <w:rPr>
                <w:rFonts w:asciiTheme="majorBidi" w:hAnsiTheme="majorBidi" w:cstheme="majorBidi"/>
                <w:color w:val="000000"/>
                <w:sz w:val="16"/>
                <w:szCs w:val="16"/>
              </w:rPr>
              <w:t>-29,5</w:t>
            </w:r>
          </w:p>
        </w:tc>
        <w:tc>
          <w:tcPr>
            <w:tcW w:w="0" w:type="auto"/>
            <w:tcBorders>
              <w:top w:val="nil"/>
              <w:left w:val="nil"/>
              <w:bottom w:val="single" w:sz="4" w:space="0" w:color="auto"/>
              <w:right w:val="single" w:sz="4" w:space="0" w:color="auto"/>
            </w:tcBorders>
            <w:shd w:val="clear" w:color="auto" w:fill="auto"/>
            <w:vAlign w:val="center"/>
            <w:hideMark/>
          </w:tcPr>
          <w:p w:rsidR="00352124" w:rsidRPr="00BD4B00" w:rsidRDefault="00352124" w:rsidP="00BD4B00">
            <w:pPr>
              <w:widowControl/>
              <w:autoSpaceDE/>
              <w:autoSpaceDN/>
              <w:adjustRightInd/>
              <w:spacing w:line="360" w:lineRule="auto"/>
              <w:jc w:val="center"/>
              <w:rPr>
                <w:rFonts w:asciiTheme="majorBidi" w:hAnsiTheme="majorBidi" w:cstheme="majorBidi"/>
                <w:color w:val="000000"/>
                <w:sz w:val="16"/>
                <w:szCs w:val="16"/>
              </w:rPr>
            </w:pPr>
            <w:r w:rsidRPr="00BD4B00">
              <w:rPr>
                <w:rFonts w:asciiTheme="majorBidi" w:hAnsiTheme="majorBidi" w:cstheme="majorBidi"/>
                <w:color w:val="000000"/>
                <w:sz w:val="16"/>
                <w:szCs w:val="16"/>
              </w:rPr>
              <w:t>-30,8</w:t>
            </w:r>
          </w:p>
        </w:tc>
        <w:tc>
          <w:tcPr>
            <w:tcW w:w="0" w:type="auto"/>
            <w:tcBorders>
              <w:top w:val="nil"/>
              <w:left w:val="nil"/>
              <w:bottom w:val="single" w:sz="4" w:space="0" w:color="auto"/>
              <w:right w:val="single" w:sz="4" w:space="0" w:color="auto"/>
            </w:tcBorders>
            <w:shd w:val="clear" w:color="auto" w:fill="auto"/>
            <w:vAlign w:val="center"/>
            <w:hideMark/>
          </w:tcPr>
          <w:p w:rsidR="00352124" w:rsidRPr="00BD4B00" w:rsidRDefault="00352124" w:rsidP="00BD4B00">
            <w:pPr>
              <w:widowControl/>
              <w:autoSpaceDE/>
              <w:autoSpaceDN/>
              <w:adjustRightInd/>
              <w:spacing w:line="360" w:lineRule="auto"/>
              <w:jc w:val="center"/>
              <w:rPr>
                <w:rFonts w:asciiTheme="majorBidi" w:hAnsiTheme="majorBidi" w:cstheme="majorBidi"/>
                <w:color w:val="000000"/>
                <w:sz w:val="16"/>
                <w:szCs w:val="16"/>
              </w:rPr>
            </w:pPr>
            <w:r w:rsidRPr="00BD4B00">
              <w:rPr>
                <w:rFonts w:asciiTheme="majorBidi" w:hAnsiTheme="majorBidi" w:cstheme="majorBidi"/>
                <w:color w:val="000000"/>
                <w:sz w:val="16"/>
                <w:szCs w:val="16"/>
              </w:rPr>
              <w:t>-28,9</w:t>
            </w:r>
          </w:p>
        </w:tc>
        <w:tc>
          <w:tcPr>
            <w:tcW w:w="0" w:type="auto"/>
            <w:tcBorders>
              <w:top w:val="nil"/>
              <w:left w:val="nil"/>
              <w:bottom w:val="single" w:sz="4" w:space="0" w:color="auto"/>
              <w:right w:val="single" w:sz="4" w:space="0" w:color="auto"/>
            </w:tcBorders>
            <w:shd w:val="clear" w:color="auto" w:fill="auto"/>
            <w:vAlign w:val="center"/>
            <w:hideMark/>
          </w:tcPr>
          <w:p w:rsidR="00352124" w:rsidRPr="00BD4B00" w:rsidRDefault="00352124" w:rsidP="00BD4B00">
            <w:pPr>
              <w:widowControl/>
              <w:autoSpaceDE/>
              <w:autoSpaceDN/>
              <w:adjustRightInd/>
              <w:spacing w:line="360" w:lineRule="auto"/>
              <w:jc w:val="center"/>
              <w:rPr>
                <w:rFonts w:asciiTheme="majorBidi" w:hAnsiTheme="majorBidi" w:cstheme="majorBidi"/>
                <w:color w:val="000000"/>
                <w:sz w:val="16"/>
                <w:szCs w:val="16"/>
              </w:rPr>
            </w:pPr>
            <w:r w:rsidRPr="00BD4B00">
              <w:rPr>
                <w:rFonts w:asciiTheme="majorBidi" w:hAnsiTheme="majorBidi" w:cstheme="majorBidi"/>
                <w:color w:val="000000"/>
                <w:sz w:val="16"/>
                <w:szCs w:val="16"/>
              </w:rPr>
              <w:t>-28,4</w:t>
            </w:r>
          </w:p>
        </w:tc>
        <w:tc>
          <w:tcPr>
            <w:tcW w:w="0" w:type="auto"/>
            <w:tcBorders>
              <w:top w:val="nil"/>
              <w:left w:val="nil"/>
              <w:bottom w:val="single" w:sz="4" w:space="0" w:color="auto"/>
              <w:right w:val="single" w:sz="4" w:space="0" w:color="auto"/>
            </w:tcBorders>
            <w:shd w:val="clear" w:color="auto" w:fill="auto"/>
            <w:vAlign w:val="center"/>
            <w:hideMark/>
          </w:tcPr>
          <w:p w:rsidR="00352124" w:rsidRPr="00BD4B00" w:rsidRDefault="00352124" w:rsidP="00BD4B00">
            <w:pPr>
              <w:widowControl/>
              <w:autoSpaceDE/>
              <w:autoSpaceDN/>
              <w:adjustRightInd/>
              <w:spacing w:line="360" w:lineRule="auto"/>
              <w:jc w:val="center"/>
              <w:rPr>
                <w:rFonts w:asciiTheme="majorBidi" w:hAnsiTheme="majorBidi" w:cstheme="majorBidi"/>
                <w:color w:val="000000"/>
                <w:sz w:val="16"/>
                <w:szCs w:val="16"/>
              </w:rPr>
            </w:pPr>
            <w:r w:rsidRPr="00BD4B00">
              <w:rPr>
                <w:rFonts w:asciiTheme="majorBidi" w:hAnsiTheme="majorBidi" w:cstheme="majorBidi"/>
                <w:color w:val="000000"/>
                <w:sz w:val="16"/>
                <w:szCs w:val="16"/>
              </w:rPr>
              <w:t>-29,7</w:t>
            </w:r>
          </w:p>
        </w:tc>
        <w:tc>
          <w:tcPr>
            <w:tcW w:w="0" w:type="auto"/>
            <w:tcBorders>
              <w:top w:val="nil"/>
              <w:left w:val="nil"/>
              <w:bottom w:val="single" w:sz="4" w:space="0" w:color="auto"/>
              <w:right w:val="single" w:sz="4" w:space="0" w:color="auto"/>
            </w:tcBorders>
            <w:shd w:val="clear" w:color="auto" w:fill="auto"/>
            <w:vAlign w:val="center"/>
            <w:hideMark/>
          </w:tcPr>
          <w:p w:rsidR="00352124" w:rsidRPr="00BD4B00" w:rsidRDefault="00352124" w:rsidP="00BD4B00">
            <w:pPr>
              <w:widowControl/>
              <w:autoSpaceDE/>
              <w:autoSpaceDN/>
              <w:adjustRightInd/>
              <w:spacing w:line="360" w:lineRule="auto"/>
              <w:jc w:val="center"/>
              <w:rPr>
                <w:rFonts w:asciiTheme="majorBidi" w:hAnsiTheme="majorBidi" w:cstheme="majorBidi"/>
                <w:color w:val="000000"/>
                <w:sz w:val="16"/>
                <w:szCs w:val="16"/>
              </w:rPr>
            </w:pPr>
            <w:r w:rsidRPr="00BD4B00">
              <w:rPr>
                <w:rFonts w:asciiTheme="majorBidi" w:hAnsiTheme="majorBidi" w:cstheme="majorBidi"/>
                <w:color w:val="000000"/>
                <w:sz w:val="16"/>
                <w:szCs w:val="16"/>
              </w:rPr>
              <w:t>-24,1</w:t>
            </w:r>
          </w:p>
        </w:tc>
        <w:tc>
          <w:tcPr>
            <w:tcW w:w="0" w:type="auto"/>
            <w:tcBorders>
              <w:top w:val="nil"/>
              <w:left w:val="nil"/>
              <w:bottom w:val="single" w:sz="4" w:space="0" w:color="auto"/>
              <w:right w:val="single" w:sz="4" w:space="0" w:color="auto"/>
            </w:tcBorders>
            <w:shd w:val="clear" w:color="auto" w:fill="auto"/>
            <w:vAlign w:val="center"/>
            <w:hideMark/>
          </w:tcPr>
          <w:p w:rsidR="00352124" w:rsidRPr="00BD4B00" w:rsidRDefault="00352124" w:rsidP="00BD4B00">
            <w:pPr>
              <w:widowControl/>
              <w:autoSpaceDE/>
              <w:autoSpaceDN/>
              <w:adjustRightInd/>
              <w:spacing w:line="360" w:lineRule="auto"/>
              <w:jc w:val="center"/>
              <w:rPr>
                <w:rFonts w:asciiTheme="majorBidi" w:hAnsiTheme="majorBidi" w:cstheme="majorBidi"/>
                <w:color w:val="000000"/>
                <w:sz w:val="16"/>
                <w:szCs w:val="16"/>
              </w:rPr>
            </w:pPr>
            <w:r w:rsidRPr="00BD4B00">
              <w:rPr>
                <w:rFonts w:asciiTheme="majorBidi" w:hAnsiTheme="majorBidi" w:cstheme="majorBidi"/>
                <w:color w:val="000000"/>
                <w:sz w:val="16"/>
                <w:szCs w:val="16"/>
              </w:rPr>
              <w:t>-25,2</w:t>
            </w:r>
          </w:p>
        </w:tc>
        <w:tc>
          <w:tcPr>
            <w:tcW w:w="0" w:type="auto"/>
            <w:tcBorders>
              <w:top w:val="nil"/>
              <w:left w:val="nil"/>
              <w:bottom w:val="single" w:sz="4" w:space="0" w:color="auto"/>
              <w:right w:val="single" w:sz="4" w:space="0" w:color="auto"/>
            </w:tcBorders>
            <w:shd w:val="clear" w:color="auto" w:fill="auto"/>
            <w:vAlign w:val="center"/>
            <w:hideMark/>
          </w:tcPr>
          <w:p w:rsidR="00352124" w:rsidRPr="00BD4B00" w:rsidRDefault="00352124" w:rsidP="00BD4B00">
            <w:pPr>
              <w:widowControl/>
              <w:autoSpaceDE/>
              <w:autoSpaceDN/>
              <w:adjustRightInd/>
              <w:spacing w:line="360" w:lineRule="auto"/>
              <w:jc w:val="center"/>
              <w:rPr>
                <w:rFonts w:asciiTheme="majorBidi" w:hAnsiTheme="majorBidi" w:cstheme="majorBidi"/>
                <w:color w:val="000000"/>
                <w:sz w:val="16"/>
                <w:szCs w:val="16"/>
              </w:rPr>
            </w:pPr>
            <w:r w:rsidRPr="00BD4B00">
              <w:rPr>
                <w:rFonts w:asciiTheme="majorBidi" w:hAnsiTheme="majorBidi" w:cstheme="majorBidi"/>
                <w:color w:val="000000"/>
                <w:sz w:val="16"/>
                <w:szCs w:val="16"/>
              </w:rPr>
              <w:t>-24,4</w:t>
            </w:r>
          </w:p>
        </w:tc>
        <w:tc>
          <w:tcPr>
            <w:tcW w:w="0" w:type="auto"/>
            <w:tcBorders>
              <w:top w:val="nil"/>
              <w:left w:val="nil"/>
              <w:bottom w:val="single" w:sz="4" w:space="0" w:color="auto"/>
              <w:right w:val="single" w:sz="4" w:space="0" w:color="auto"/>
            </w:tcBorders>
            <w:shd w:val="clear" w:color="auto" w:fill="auto"/>
            <w:vAlign w:val="center"/>
            <w:hideMark/>
          </w:tcPr>
          <w:p w:rsidR="00352124" w:rsidRPr="00BD4B00" w:rsidRDefault="00352124" w:rsidP="00BD4B00">
            <w:pPr>
              <w:widowControl/>
              <w:autoSpaceDE/>
              <w:autoSpaceDN/>
              <w:adjustRightInd/>
              <w:spacing w:line="360" w:lineRule="auto"/>
              <w:jc w:val="center"/>
              <w:rPr>
                <w:rFonts w:asciiTheme="majorBidi" w:hAnsiTheme="majorBidi" w:cstheme="majorBidi"/>
                <w:color w:val="000000"/>
                <w:sz w:val="16"/>
                <w:szCs w:val="16"/>
              </w:rPr>
            </w:pPr>
            <w:r w:rsidRPr="00BD4B00">
              <w:rPr>
                <w:rFonts w:asciiTheme="majorBidi" w:hAnsiTheme="majorBidi" w:cstheme="majorBidi"/>
                <w:color w:val="000000"/>
                <w:sz w:val="16"/>
                <w:szCs w:val="16"/>
              </w:rPr>
              <w:t>-22,6</w:t>
            </w:r>
          </w:p>
        </w:tc>
        <w:tc>
          <w:tcPr>
            <w:tcW w:w="0" w:type="auto"/>
            <w:tcBorders>
              <w:top w:val="nil"/>
              <w:left w:val="nil"/>
              <w:bottom w:val="single" w:sz="4" w:space="0" w:color="auto"/>
              <w:right w:val="single" w:sz="4" w:space="0" w:color="auto"/>
            </w:tcBorders>
            <w:shd w:val="clear" w:color="auto" w:fill="auto"/>
            <w:vAlign w:val="center"/>
            <w:hideMark/>
          </w:tcPr>
          <w:p w:rsidR="00352124" w:rsidRPr="00BD4B00" w:rsidRDefault="00352124" w:rsidP="00BD4B00">
            <w:pPr>
              <w:widowControl/>
              <w:autoSpaceDE/>
              <w:autoSpaceDN/>
              <w:adjustRightInd/>
              <w:spacing w:line="360" w:lineRule="auto"/>
              <w:jc w:val="center"/>
              <w:rPr>
                <w:rFonts w:asciiTheme="majorBidi" w:hAnsiTheme="majorBidi" w:cstheme="majorBidi"/>
                <w:color w:val="000000"/>
                <w:sz w:val="16"/>
                <w:szCs w:val="16"/>
              </w:rPr>
            </w:pPr>
            <w:r w:rsidRPr="00BD4B00">
              <w:rPr>
                <w:rFonts w:asciiTheme="majorBidi" w:hAnsiTheme="majorBidi" w:cstheme="majorBidi"/>
                <w:color w:val="000000"/>
                <w:sz w:val="16"/>
                <w:szCs w:val="16"/>
              </w:rPr>
              <w:t>-25,3</w:t>
            </w:r>
          </w:p>
        </w:tc>
        <w:tc>
          <w:tcPr>
            <w:tcW w:w="0" w:type="auto"/>
            <w:tcBorders>
              <w:top w:val="nil"/>
              <w:left w:val="nil"/>
              <w:bottom w:val="single" w:sz="4" w:space="0" w:color="auto"/>
              <w:right w:val="single" w:sz="4" w:space="0" w:color="auto"/>
            </w:tcBorders>
            <w:shd w:val="clear" w:color="auto" w:fill="auto"/>
            <w:vAlign w:val="center"/>
            <w:hideMark/>
          </w:tcPr>
          <w:p w:rsidR="00352124" w:rsidRPr="00BD4B00" w:rsidRDefault="00352124" w:rsidP="00BD4B00">
            <w:pPr>
              <w:widowControl/>
              <w:autoSpaceDE/>
              <w:autoSpaceDN/>
              <w:adjustRightInd/>
              <w:spacing w:line="360" w:lineRule="auto"/>
              <w:jc w:val="center"/>
              <w:rPr>
                <w:rFonts w:asciiTheme="majorBidi" w:hAnsiTheme="majorBidi" w:cstheme="majorBidi"/>
                <w:color w:val="000000"/>
                <w:sz w:val="16"/>
                <w:szCs w:val="16"/>
              </w:rPr>
            </w:pPr>
            <w:r w:rsidRPr="00BD4B00">
              <w:rPr>
                <w:rFonts w:asciiTheme="majorBidi" w:hAnsiTheme="majorBidi" w:cstheme="majorBidi"/>
                <w:color w:val="000000"/>
                <w:sz w:val="16"/>
                <w:szCs w:val="16"/>
              </w:rPr>
              <w:t>-27,8</w:t>
            </w:r>
          </w:p>
        </w:tc>
        <w:tc>
          <w:tcPr>
            <w:tcW w:w="0" w:type="auto"/>
            <w:tcBorders>
              <w:top w:val="nil"/>
              <w:left w:val="nil"/>
              <w:bottom w:val="single" w:sz="4" w:space="0" w:color="auto"/>
              <w:right w:val="single" w:sz="4" w:space="0" w:color="auto"/>
            </w:tcBorders>
            <w:shd w:val="clear" w:color="auto" w:fill="auto"/>
            <w:vAlign w:val="center"/>
            <w:hideMark/>
          </w:tcPr>
          <w:p w:rsidR="00352124" w:rsidRPr="00BD4B00" w:rsidRDefault="00352124" w:rsidP="00BD4B00">
            <w:pPr>
              <w:widowControl/>
              <w:autoSpaceDE/>
              <w:autoSpaceDN/>
              <w:adjustRightInd/>
              <w:spacing w:line="360" w:lineRule="auto"/>
              <w:jc w:val="center"/>
              <w:rPr>
                <w:rFonts w:asciiTheme="majorBidi" w:hAnsiTheme="majorBidi" w:cstheme="majorBidi"/>
                <w:color w:val="000000"/>
                <w:sz w:val="16"/>
                <w:szCs w:val="16"/>
              </w:rPr>
            </w:pPr>
            <w:r w:rsidRPr="00BD4B00">
              <w:rPr>
                <w:rFonts w:asciiTheme="majorBidi" w:hAnsiTheme="majorBidi" w:cstheme="majorBidi"/>
                <w:color w:val="000000"/>
                <w:sz w:val="16"/>
                <w:szCs w:val="16"/>
              </w:rPr>
              <w:t>-28,7</w:t>
            </w:r>
          </w:p>
        </w:tc>
        <w:tc>
          <w:tcPr>
            <w:tcW w:w="0" w:type="auto"/>
            <w:tcBorders>
              <w:top w:val="nil"/>
              <w:left w:val="nil"/>
              <w:bottom w:val="single" w:sz="4" w:space="0" w:color="auto"/>
              <w:right w:val="single" w:sz="4" w:space="0" w:color="auto"/>
            </w:tcBorders>
            <w:shd w:val="clear" w:color="auto" w:fill="auto"/>
            <w:vAlign w:val="center"/>
            <w:hideMark/>
          </w:tcPr>
          <w:p w:rsidR="00352124" w:rsidRPr="00BD4B00" w:rsidRDefault="00352124" w:rsidP="00BD4B00">
            <w:pPr>
              <w:widowControl/>
              <w:autoSpaceDE/>
              <w:autoSpaceDN/>
              <w:adjustRightInd/>
              <w:spacing w:line="360" w:lineRule="auto"/>
              <w:jc w:val="center"/>
              <w:rPr>
                <w:rFonts w:asciiTheme="majorBidi" w:hAnsiTheme="majorBidi" w:cstheme="majorBidi"/>
                <w:color w:val="000000"/>
                <w:sz w:val="16"/>
                <w:szCs w:val="16"/>
              </w:rPr>
            </w:pPr>
            <w:r w:rsidRPr="00BD4B00">
              <w:rPr>
                <w:rFonts w:asciiTheme="majorBidi" w:hAnsiTheme="majorBidi" w:cstheme="majorBidi"/>
                <w:color w:val="000000"/>
                <w:sz w:val="16"/>
                <w:szCs w:val="16"/>
              </w:rPr>
              <w:t>-25,8</w:t>
            </w:r>
          </w:p>
        </w:tc>
        <w:tc>
          <w:tcPr>
            <w:tcW w:w="0" w:type="auto"/>
            <w:tcBorders>
              <w:top w:val="nil"/>
              <w:left w:val="nil"/>
              <w:bottom w:val="single" w:sz="4" w:space="0" w:color="auto"/>
              <w:right w:val="single" w:sz="4" w:space="0" w:color="auto"/>
            </w:tcBorders>
            <w:shd w:val="clear" w:color="auto" w:fill="auto"/>
            <w:vAlign w:val="center"/>
            <w:hideMark/>
          </w:tcPr>
          <w:p w:rsidR="00352124" w:rsidRPr="00BD4B00" w:rsidRDefault="00352124" w:rsidP="00BD4B00">
            <w:pPr>
              <w:widowControl/>
              <w:autoSpaceDE/>
              <w:autoSpaceDN/>
              <w:adjustRightInd/>
              <w:spacing w:line="360" w:lineRule="auto"/>
              <w:jc w:val="center"/>
              <w:rPr>
                <w:rFonts w:asciiTheme="majorBidi" w:hAnsiTheme="majorBidi" w:cstheme="majorBidi"/>
                <w:color w:val="000000"/>
                <w:sz w:val="16"/>
                <w:szCs w:val="16"/>
              </w:rPr>
            </w:pPr>
            <w:r w:rsidRPr="00BD4B00">
              <w:rPr>
                <w:rFonts w:asciiTheme="majorBidi" w:hAnsiTheme="majorBidi" w:cstheme="majorBidi"/>
                <w:color w:val="000000"/>
                <w:sz w:val="16"/>
                <w:szCs w:val="16"/>
              </w:rPr>
              <w:t>-23</w:t>
            </w:r>
          </w:p>
        </w:tc>
        <w:tc>
          <w:tcPr>
            <w:tcW w:w="0" w:type="auto"/>
            <w:tcBorders>
              <w:top w:val="nil"/>
              <w:left w:val="nil"/>
              <w:bottom w:val="single" w:sz="4" w:space="0" w:color="auto"/>
              <w:right w:val="single" w:sz="4" w:space="0" w:color="auto"/>
            </w:tcBorders>
            <w:shd w:val="clear" w:color="auto" w:fill="auto"/>
            <w:vAlign w:val="center"/>
            <w:hideMark/>
          </w:tcPr>
          <w:p w:rsidR="00352124" w:rsidRPr="00BD4B00" w:rsidRDefault="00352124" w:rsidP="00BD4B00">
            <w:pPr>
              <w:widowControl/>
              <w:autoSpaceDE/>
              <w:autoSpaceDN/>
              <w:adjustRightInd/>
              <w:spacing w:line="360" w:lineRule="auto"/>
              <w:jc w:val="center"/>
              <w:rPr>
                <w:rFonts w:asciiTheme="majorBidi" w:hAnsiTheme="majorBidi" w:cstheme="majorBidi"/>
                <w:color w:val="000000"/>
                <w:sz w:val="16"/>
                <w:szCs w:val="16"/>
              </w:rPr>
            </w:pPr>
            <w:r w:rsidRPr="00BD4B00">
              <w:rPr>
                <w:rFonts w:asciiTheme="majorBidi" w:hAnsiTheme="majorBidi" w:cstheme="majorBidi"/>
                <w:color w:val="000000"/>
                <w:sz w:val="16"/>
                <w:szCs w:val="16"/>
              </w:rPr>
              <w:t>-27,2</w:t>
            </w:r>
          </w:p>
        </w:tc>
        <w:tc>
          <w:tcPr>
            <w:tcW w:w="0" w:type="auto"/>
            <w:tcBorders>
              <w:top w:val="nil"/>
              <w:left w:val="nil"/>
              <w:bottom w:val="single" w:sz="4" w:space="0" w:color="auto"/>
              <w:right w:val="single" w:sz="4" w:space="0" w:color="auto"/>
            </w:tcBorders>
            <w:shd w:val="clear" w:color="auto" w:fill="auto"/>
            <w:vAlign w:val="center"/>
            <w:hideMark/>
          </w:tcPr>
          <w:p w:rsidR="00352124" w:rsidRPr="00BD4B00" w:rsidRDefault="00352124" w:rsidP="00BD4B00">
            <w:pPr>
              <w:widowControl/>
              <w:autoSpaceDE/>
              <w:autoSpaceDN/>
              <w:bidi/>
              <w:adjustRightInd/>
              <w:spacing w:line="360" w:lineRule="auto"/>
              <w:rPr>
                <w:rFonts w:asciiTheme="majorBidi" w:hAnsiTheme="majorBidi" w:cstheme="majorBidi"/>
                <w:b/>
                <w:bCs/>
                <w:color w:val="000000"/>
                <w:sz w:val="16"/>
                <w:szCs w:val="16"/>
              </w:rPr>
            </w:pPr>
            <w:r w:rsidRPr="00BD4B00">
              <w:rPr>
                <w:rFonts w:asciiTheme="majorBidi" w:hAnsiTheme="majorBidi" w:cstheme="majorBidi"/>
                <w:b/>
                <w:bCs/>
                <w:color w:val="000000"/>
                <w:sz w:val="16"/>
                <w:szCs w:val="16"/>
                <w:rtl/>
              </w:rPr>
              <w:t>الوضعية المالية الحالية للأسرة</w:t>
            </w:r>
          </w:p>
        </w:tc>
      </w:tr>
      <w:tr w:rsidR="00696211" w:rsidRPr="00BD4B00" w:rsidTr="00BD4B00">
        <w:trPr>
          <w:trHeight w:val="888"/>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352124" w:rsidRPr="00BD4B00" w:rsidRDefault="00352124" w:rsidP="00BD4B00">
            <w:pPr>
              <w:widowControl/>
              <w:autoSpaceDE/>
              <w:autoSpaceDN/>
              <w:adjustRightInd/>
              <w:spacing w:line="360" w:lineRule="auto"/>
              <w:jc w:val="center"/>
              <w:rPr>
                <w:rFonts w:asciiTheme="majorBidi" w:hAnsiTheme="majorBidi" w:cstheme="majorBidi"/>
                <w:color w:val="000000"/>
                <w:sz w:val="16"/>
                <w:szCs w:val="16"/>
              </w:rPr>
            </w:pPr>
            <w:r w:rsidRPr="00BD4B00">
              <w:rPr>
                <w:rFonts w:asciiTheme="majorBidi" w:hAnsiTheme="majorBidi" w:cstheme="majorBidi"/>
                <w:color w:val="000000"/>
                <w:sz w:val="16"/>
                <w:szCs w:val="16"/>
              </w:rPr>
              <w:t>-53,0</w:t>
            </w:r>
          </w:p>
        </w:tc>
        <w:tc>
          <w:tcPr>
            <w:tcW w:w="590" w:type="dxa"/>
            <w:tcBorders>
              <w:top w:val="nil"/>
              <w:left w:val="nil"/>
              <w:bottom w:val="single" w:sz="4" w:space="0" w:color="auto"/>
              <w:right w:val="single" w:sz="4" w:space="0" w:color="auto"/>
            </w:tcBorders>
            <w:shd w:val="clear" w:color="auto" w:fill="auto"/>
            <w:vAlign w:val="center"/>
            <w:hideMark/>
          </w:tcPr>
          <w:p w:rsidR="00352124" w:rsidRPr="00BD4B00" w:rsidRDefault="00352124" w:rsidP="00BD4B00">
            <w:pPr>
              <w:widowControl/>
              <w:autoSpaceDE/>
              <w:autoSpaceDN/>
              <w:adjustRightInd/>
              <w:spacing w:line="360" w:lineRule="auto"/>
              <w:jc w:val="center"/>
              <w:rPr>
                <w:rFonts w:asciiTheme="majorBidi" w:hAnsiTheme="majorBidi" w:cstheme="majorBidi"/>
                <w:color w:val="000000"/>
                <w:sz w:val="16"/>
                <w:szCs w:val="16"/>
              </w:rPr>
            </w:pPr>
            <w:r w:rsidRPr="00BD4B00">
              <w:rPr>
                <w:rFonts w:asciiTheme="majorBidi" w:hAnsiTheme="majorBidi" w:cstheme="majorBidi"/>
                <w:color w:val="000000"/>
                <w:sz w:val="16"/>
                <w:szCs w:val="16"/>
              </w:rPr>
              <w:t>-47,7</w:t>
            </w:r>
          </w:p>
        </w:tc>
        <w:tc>
          <w:tcPr>
            <w:tcW w:w="0" w:type="auto"/>
            <w:tcBorders>
              <w:top w:val="nil"/>
              <w:left w:val="nil"/>
              <w:bottom w:val="single" w:sz="4" w:space="0" w:color="auto"/>
              <w:right w:val="single" w:sz="4" w:space="0" w:color="auto"/>
            </w:tcBorders>
            <w:shd w:val="clear" w:color="auto" w:fill="auto"/>
            <w:vAlign w:val="center"/>
            <w:hideMark/>
          </w:tcPr>
          <w:p w:rsidR="00352124" w:rsidRPr="00BD4B00" w:rsidRDefault="00352124" w:rsidP="00BD4B00">
            <w:pPr>
              <w:widowControl/>
              <w:autoSpaceDE/>
              <w:autoSpaceDN/>
              <w:adjustRightInd/>
              <w:spacing w:line="360" w:lineRule="auto"/>
              <w:jc w:val="center"/>
              <w:rPr>
                <w:rFonts w:asciiTheme="majorBidi" w:hAnsiTheme="majorBidi" w:cstheme="majorBidi"/>
                <w:color w:val="000000"/>
                <w:sz w:val="16"/>
                <w:szCs w:val="16"/>
              </w:rPr>
            </w:pPr>
            <w:r w:rsidRPr="00BD4B00">
              <w:rPr>
                <w:rFonts w:asciiTheme="majorBidi" w:hAnsiTheme="majorBidi" w:cstheme="majorBidi"/>
                <w:color w:val="000000"/>
                <w:sz w:val="16"/>
                <w:szCs w:val="16"/>
              </w:rPr>
              <w:t>-48,7</w:t>
            </w:r>
          </w:p>
        </w:tc>
        <w:tc>
          <w:tcPr>
            <w:tcW w:w="0" w:type="auto"/>
            <w:tcBorders>
              <w:top w:val="nil"/>
              <w:left w:val="nil"/>
              <w:bottom w:val="single" w:sz="4" w:space="0" w:color="auto"/>
              <w:right w:val="single" w:sz="4" w:space="0" w:color="auto"/>
            </w:tcBorders>
            <w:shd w:val="clear" w:color="auto" w:fill="auto"/>
            <w:vAlign w:val="center"/>
            <w:hideMark/>
          </w:tcPr>
          <w:p w:rsidR="00352124" w:rsidRPr="00BD4B00" w:rsidRDefault="00352124" w:rsidP="00BD4B00">
            <w:pPr>
              <w:widowControl/>
              <w:autoSpaceDE/>
              <w:autoSpaceDN/>
              <w:adjustRightInd/>
              <w:spacing w:line="360" w:lineRule="auto"/>
              <w:jc w:val="center"/>
              <w:rPr>
                <w:rFonts w:asciiTheme="majorBidi" w:hAnsiTheme="majorBidi" w:cstheme="majorBidi"/>
                <w:color w:val="000000"/>
                <w:sz w:val="16"/>
                <w:szCs w:val="16"/>
              </w:rPr>
            </w:pPr>
            <w:r w:rsidRPr="00BD4B00">
              <w:rPr>
                <w:rFonts w:asciiTheme="majorBidi" w:hAnsiTheme="majorBidi" w:cstheme="majorBidi"/>
                <w:color w:val="000000"/>
                <w:sz w:val="16"/>
                <w:szCs w:val="16"/>
              </w:rPr>
              <w:t>-50,9</w:t>
            </w:r>
          </w:p>
        </w:tc>
        <w:tc>
          <w:tcPr>
            <w:tcW w:w="0" w:type="auto"/>
            <w:tcBorders>
              <w:top w:val="nil"/>
              <w:left w:val="nil"/>
              <w:bottom w:val="single" w:sz="4" w:space="0" w:color="auto"/>
              <w:right w:val="single" w:sz="4" w:space="0" w:color="auto"/>
            </w:tcBorders>
            <w:shd w:val="clear" w:color="auto" w:fill="auto"/>
            <w:vAlign w:val="center"/>
            <w:hideMark/>
          </w:tcPr>
          <w:p w:rsidR="00352124" w:rsidRPr="00BD4B00" w:rsidRDefault="00352124" w:rsidP="00BD4B00">
            <w:pPr>
              <w:widowControl/>
              <w:autoSpaceDE/>
              <w:autoSpaceDN/>
              <w:adjustRightInd/>
              <w:spacing w:line="360" w:lineRule="auto"/>
              <w:jc w:val="center"/>
              <w:rPr>
                <w:rFonts w:asciiTheme="majorBidi" w:hAnsiTheme="majorBidi" w:cstheme="majorBidi"/>
                <w:color w:val="000000"/>
                <w:sz w:val="16"/>
                <w:szCs w:val="16"/>
              </w:rPr>
            </w:pPr>
            <w:r w:rsidRPr="00BD4B00">
              <w:rPr>
                <w:rFonts w:asciiTheme="majorBidi" w:hAnsiTheme="majorBidi" w:cstheme="majorBidi"/>
                <w:color w:val="000000"/>
                <w:sz w:val="16"/>
                <w:szCs w:val="16"/>
              </w:rPr>
              <w:t>-49</w:t>
            </w:r>
          </w:p>
        </w:tc>
        <w:tc>
          <w:tcPr>
            <w:tcW w:w="0" w:type="auto"/>
            <w:tcBorders>
              <w:top w:val="nil"/>
              <w:left w:val="nil"/>
              <w:bottom w:val="single" w:sz="4" w:space="0" w:color="auto"/>
              <w:right w:val="single" w:sz="4" w:space="0" w:color="auto"/>
            </w:tcBorders>
            <w:shd w:val="clear" w:color="auto" w:fill="auto"/>
            <w:vAlign w:val="center"/>
            <w:hideMark/>
          </w:tcPr>
          <w:p w:rsidR="00352124" w:rsidRPr="00BD4B00" w:rsidRDefault="00352124" w:rsidP="00BD4B00">
            <w:pPr>
              <w:widowControl/>
              <w:autoSpaceDE/>
              <w:autoSpaceDN/>
              <w:adjustRightInd/>
              <w:spacing w:line="360" w:lineRule="auto"/>
              <w:jc w:val="center"/>
              <w:rPr>
                <w:rFonts w:asciiTheme="majorBidi" w:hAnsiTheme="majorBidi" w:cstheme="majorBidi"/>
                <w:color w:val="000000"/>
                <w:sz w:val="16"/>
                <w:szCs w:val="16"/>
              </w:rPr>
            </w:pPr>
            <w:r w:rsidRPr="00BD4B00">
              <w:rPr>
                <w:rFonts w:asciiTheme="majorBidi" w:hAnsiTheme="majorBidi" w:cstheme="majorBidi"/>
                <w:color w:val="000000"/>
                <w:sz w:val="16"/>
                <w:szCs w:val="16"/>
              </w:rPr>
              <w:t>-48</w:t>
            </w:r>
          </w:p>
        </w:tc>
        <w:tc>
          <w:tcPr>
            <w:tcW w:w="0" w:type="auto"/>
            <w:tcBorders>
              <w:top w:val="nil"/>
              <w:left w:val="nil"/>
              <w:bottom w:val="single" w:sz="4" w:space="0" w:color="auto"/>
              <w:right w:val="single" w:sz="4" w:space="0" w:color="auto"/>
            </w:tcBorders>
            <w:shd w:val="clear" w:color="auto" w:fill="auto"/>
            <w:vAlign w:val="center"/>
            <w:hideMark/>
          </w:tcPr>
          <w:p w:rsidR="00352124" w:rsidRPr="00BD4B00" w:rsidRDefault="00352124" w:rsidP="00BD4B00">
            <w:pPr>
              <w:widowControl/>
              <w:autoSpaceDE/>
              <w:autoSpaceDN/>
              <w:adjustRightInd/>
              <w:spacing w:line="360" w:lineRule="auto"/>
              <w:jc w:val="center"/>
              <w:rPr>
                <w:rFonts w:asciiTheme="majorBidi" w:hAnsiTheme="majorBidi" w:cstheme="majorBidi"/>
                <w:color w:val="000000"/>
                <w:sz w:val="16"/>
                <w:szCs w:val="16"/>
              </w:rPr>
            </w:pPr>
            <w:r w:rsidRPr="00BD4B00">
              <w:rPr>
                <w:rFonts w:asciiTheme="majorBidi" w:hAnsiTheme="majorBidi" w:cstheme="majorBidi"/>
                <w:color w:val="000000"/>
                <w:sz w:val="16"/>
                <w:szCs w:val="16"/>
              </w:rPr>
              <w:t>-50</w:t>
            </w:r>
          </w:p>
        </w:tc>
        <w:tc>
          <w:tcPr>
            <w:tcW w:w="0" w:type="auto"/>
            <w:tcBorders>
              <w:top w:val="nil"/>
              <w:left w:val="nil"/>
              <w:bottom w:val="single" w:sz="4" w:space="0" w:color="auto"/>
              <w:right w:val="single" w:sz="4" w:space="0" w:color="auto"/>
            </w:tcBorders>
            <w:shd w:val="clear" w:color="auto" w:fill="auto"/>
            <w:vAlign w:val="center"/>
            <w:hideMark/>
          </w:tcPr>
          <w:p w:rsidR="00352124" w:rsidRPr="00BD4B00" w:rsidRDefault="00352124" w:rsidP="00BD4B00">
            <w:pPr>
              <w:widowControl/>
              <w:autoSpaceDE/>
              <w:autoSpaceDN/>
              <w:adjustRightInd/>
              <w:spacing w:line="360" w:lineRule="auto"/>
              <w:jc w:val="center"/>
              <w:rPr>
                <w:rFonts w:asciiTheme="majorBidi" w:hAnsiTheme="majorBidi" w:cstheme="majorBidi"/>
                <w:color w:val="000000"/>
                <w:sz w:val="16"/>
                <w:szCs w:val="16"/>
              </w:rPr>
            </w:pPr>
            <w:r w:rsidRPr="00BD4B00">
              <w:rPr>
                <w:rFonts w:asciiTheme="majorBidi" w:hAnsiTheme="majorBidi" w:cstheme="majorBidi"/>
                <w:color w:val="000000"/>
                <w:sz w:val="16"/>
                <w:szCs w:val="16"/>
              </w:rPr>
              <w:t>-47,4</w:t>
            </w:r>
          </w:p>
        </w:tc>
        <w:tc>
          <w:tcPr>
            <w:tcW w:w="0" w:type="auto"/>
            <w:tcBorders>
              <w:top w:val="nil"/>
              <w:left w:val="nil"/>
              <w:bottom w:val="single" w:sz="4" w:space="0" w:color="auto"/>
              <w:right w:val="single" w:sz="4" w:space="0" w:color="auto"/>
            </w:tcBorders>
            <w:shd w:val="clear" w:color="auto" w:fill="auto"/>
            <w:vAlign w:val="center"/>
            <w:hideMark/>
          </w:tcPr>
          <w:p w:rsidR="00352124" w:rsidRPr="00BD4B00" w:rsidRDefault="00352124" w:rsidP="00BD4B00">
            <w:pPr>
              <w:widowControl/>
              <w:autoSpaceDE/>
              <w:autoSpaceDN/>
              <w:adjustRightInd/>
              <w:spacing w:line="360" w:lineRule="auto"/>
              <w:jc w:val="center"/>
              <w:rPr>
                <w:rFonts w:asciiTheme="majorBidi" w:hAnsiTheme="majorBidi" w:cstheme="majorBidi"/>
                <w:color w:val="000000"/>
                <w:sz w:val="16"/>
                <w:szCs w:val="16"/>
              </w:rPr>
            </w:pPr>
            <w:r w:rsidRPr="00BD4B00">
              <w:rPr>
                <w:rFonts w:asciiTheme="majorBidi" w:hAnsiTheme="majorBidi" w:cstheme="majorBidi"/>
                <w:color w:val="000000"/>
                <w:sz w:val="16"/>
                <w:szCs w:val="16"/>
              </w:rPr>
              <w:t>-39,9</w:t>
            </w:r>
          </w:p>
        </w:tc>
        <w:tc>
          <w:tcPr>
            <w:tcW w:w="0" w:type="auto"/>
            <w:tcBorders>
              <w:top w:val="nil"/>
              <w:left w:val="nil"/>
              <w:bottom w:val="single" w:sz="4" w:space="0" w:color="auto"/>
              <w:right w:val="single" w:sz="4" w:space="0" w:color="auto"/>
            </w:tcBorders>
            <w:shd w:val="clear" w:color="auto" w:fill="auto"/>
            <w:vAlign w:val="center"/>
            <w:hideMark/>
          </w:tcPr>
          <w:p w:rsidR="00352124" w:rsidRPr="00BD4B00" w:rsidRDefault="00352124" w:rsidP="00BD4B00">
            <w:pPr>
              <w:widowControl/>
              <w:autoSpaceDE/>
              <w:autoSpaceDN/>
              <w:adjustRightInd/>
              <w:spacing w:line="360" w:lineRule="auto"/>
              <w:jc w:val="center"/>
              <w:rPr>
                <w:rFonts w:asciiTheme="majorBidi" w:hAnsiTheme="majorBidi" w:cstheme="majorBidi"/>
                <w:color w:val="000000"/>
                <w:sz w:val="16"/>
                <w:szCs w:val="16"/>
              </w:rPr>
            </w:pPr>
            <w:r w:rsidRPr="00BD4B00">
              <w:rPr>
                <w:rFonts w:asciiTheme="majorBidi" w:hAnsiTheme="majorBidi" w:cstheme="majorBidi"/>
                <w:color w:val="000000"/>
                <w:sz w:val="16"/>
                <w:szCs w:val="16"/>
              </w:rPr>
              <w:t>-34</w:t>
            </w:r>
          </w:p>
        </w:tc>
        <w:tc>
          <w:tcPr>
            <w:tcW w:w="0" w:type="auto"/>
            <w:tcBorders>
              <w:top w:val="nil"/>
              <w:left w:val="nil"/>
              <w:bottom w:val="single" w:sz="4" w:space="0" w:color="auto"/>
              <w:right w:val="single" w:sz="4" w:space="0" w:color="auto"/>
            </w:tcBorders>
            <w:shd w:val="clear" w:color="auto" w:fill="auto"/>
            <w:vAlign w:val="center"/>
            <w:hideMark/>
          </w:tcPr>
          <w:p w:rsidR="00352124" w:rsidRPr="00BD4B00" w:rsidRDefault="00352124" w:rsidP="00BD4B00">
            <w:pPr>
              <w:widowControl/>
              <w:autoSpaceDE/>
              <w:autoSpaceDN/>
              <w:adjustRightInd/>
              <w:spacing w:line="360" w:lineRule="auto"/>
              <w:jc w:val="center"/>
              <w:rPr>
                <w:rFonts w:asciiTheme="majorBidi" w:hAnsiTheme="majorBidi" w:cstheme="majorBidi"/>
                <w:color w:val="000000"/>
                <w:sz w:val="16"/>
                <w:szCs w:val="16"/>
              </w:rPr>
            </w:pPr>
            <w:r w:rsidRPr="00BD4B00">
              <w:rPr>
                <w:rFonts w:asciiTheme="majorBidi" w:hAnsiTheme="majorBidi" w:cstheme="majorBidi"/>
                <w:color w:val="000000"/>
                <w:sz w:val="16"/>
                <w:szCs w:val="16"/>
              </w:rPr>
              <w:t>-27</w:t>
            </w:r>
          </w:p>
        </w:tc>
        <w:tc>
          <w:tcPr>
            <w:tcW w:w="0" w:type="auto"/>
            <w:tcBorders>
              <w:top w:val="nil"/>
              <w:left w:val="nil"/>
              <w:bottom w:val="single" w:sz="4" w:space="0" w:color="auto"/>
              <w:right w:val="single" w:sz="4" w:space="0" w:color="auto"/>
            </w:tcBorders>
            <w:shd w:val="clear" w:color="auto" w:fill="auto"/>
            <w:vAlign w:val="center"/>
            <w:hideMark/>
          </w:tcPr>
          <w:p w:rsidR="00352124" w:rsidRPr="00BD4B00" w:rsidRDefault="00352124" w:rsidP="00BD4B00">
            <w:pPr>
              <w:widowControl/>
              <w:autoSpaceDE/>
              <w:autoSpaceDN/>
              <w:adjustRightInd/>
              <w:spacing w:line="360" w:lineRule="auto"/>
              <w:jc w:val="center"/>
              <w:rPr>
                <w:rFonts w:asciiTheme="majorBidi" w:hAnsiTheme="majorBidi" w:cstheme="majorBidi"/>
                <w:color w:val="000000"/>
                <w:sz w:val="16"/>
                <w:szCs w:val="16"/>
              </w:rPr>
            </w:pPr>
            <w:r w:rsidRPr="00BD4B00">
              <w:rPr>
                <w:rFonts w:asciiTheme="majorBidi" w:hAnsiTheme="majorBidi" w:cstheme="majorBidi"/>
                <w:color w:val="000000"/>
                <w:sz w:val="16"/>
                <w:szCs w:val="16"/>
              </w:rPr>
              <w:t>-22,9</w:t>
            </w:r>
          </w:p>
        </w:tc>
        <w:tc>
          <w:tcPr>
            <w:tcW w:w="0" w:type="auto"/>
            <w:tcBorders>
              <w:top w:val="nil"/>
              <w:left w:val="nil"/>
              <w:bottom w:val="single" w:sz="4" w:space="0" w:color="auto"/>
              <w:right w:val="single" w:sz="4" w:space="0" w:color="auto"/>
            </w:tcBorders>
            <w:shd w:val="clear" w:color="auto" w:fill="auto"/>
            <w:vAlign w:val="center"/>
            <w:hideMark/>
          </w:tcPr>
          <w:p w:rsidR="00352124" w:rsidRPr="00BD4B00" w:rsidRDefault="00352124" w:rsidP="00BD4B00">
            <w:pPr>
              <w:widowControl/>
              <w:autoSpaceDE/>
              <w:autoSpaceDN/>
              <w:adjustRightInd/>
              <w:spacing w:line="360" w:lineRule="auto"/>
              <w:jc w:val="center"/>
              <w:rPr>
                <w:rFonts w:asciiTheme="majorBidi" w:hAnsiTheme="majorBidi" w:cstheme="majorBidi"/>
                <w:color w:val="000000"/>
                <w:sz w:val="16"/>
                <w:szCs w:val="16"/>
              </w:rPr>
            </w:pPr>
            <w:r w:rsidRPr="00BD4B00">
              <w:rPr>
                <w:rFonts w:asciiTheme="majorBidi" w:hAnsiTheme="majorBidi" w:cstheme="majorBidi"/>
                <w:color w:val="000000"/>
                <w:sz w:val="16"/>
                <w:szCs w:val="16"/>
              </w:rPr>
              <w:t>-22,1</w:t>
            </w:r>
          </w:p>
        </w:tc>
        <w:tc>
          <w:tcPr>
            <w:tcW w:w="0" w:type="auto"/>
            <w:tcBorders>
              <w:top w:val="nil"/>
              <w:left w:val="nil"/>
              <w:bottom w:val="single" w:sz="4" w:space="0" w:color="auto"/>
              <w:right w:val="single" w:sz="4" w:space="0" w:color="auto"/>
            </w:tcBorders>
            <w:shd w:val="clear" w:color="auto" w:fill="auto"/>
            <w:vAlign w:val="center"/>
            <w:hideMark/>
          </w:tcPr>
          <w:p w:rsidR="00352124" w:rsidRPr="00BD4B00" w:rsidRDefault="00352124" w:rsidP="00BD4B00">
            <w:pPr>
              <w:widowControl/>
              <w:autoSpaceDE/>
              <w:autoSpaceDN/>
              <w:adjustRightInd/>
              <w:spacing w:line="360" w:lineRule="auto"/>
              <w:jc w:val="center"/>
              <w:rPr>
                <w:rFonts w:asciiTheme="majorBidi" w:hAnsiTheme="majorBidi" w:cstheme="majorBidi"/>
                <w:color w:val="000000"/>
                <w:sz w:val="16"/>
                <w:szCs w:val="16"/>
              </w:rPr>
            </w:pPr>
            <w:r w:rsidRPr="00BD4B00">
              <w:rPr>
                <w:rFonts w:asciiTheme="majorBidi" w:hAnsiTheme="majorBidi" w:cstheme="majorBidi"/>
                <w:color w:val="000000"/>
                <w:sz w:val="16"/>
                <w:szCs w:val="16"/>
              </w:rPr>
              <w:t>-26</w:t>
            </w:r>
          </w:p>
        </w:tc>
        <w:tc>
          <w:tcPr>
            <w:tcW w:w="0" w:type="auto"/>
            <w:tcBorders>
              <w:top w:val="nil"/>
              <w:left w:val="nil"/>
              <w:bottom w:val="single" w:sz="4" w:space="0" w:color="auto"/>
              <w:right w:val="single" w:sz="4" w:space="0" w:color="auto"/>
            </w:tcBorders>
            <w:shd w:val="clear" w:color="auto" w:fill="auto"/>
            <w:vAlign w:val="center"/>
            <w:hideMark/>
          </w:tcPr>
          <w:p w:rsidR="00352124" w:rsidRPr="00BD4B00" w:rsidRDefault="00352124" w:rsidP="00BD4B00">
            <w:pPr>
              <w:widowControl/>
              <w:autoSpaceDE/>
              <w:autoSpaceDN/>
              <w:adjustRightInd/>
              <w:spacing w:line="360" w:lineRule="auto"/>
              <w:jc w:val="center"/>
              <w:rPr>
                <w:rFonts w:asciiTheme="majorBidi" w:hAnsiTheme="majorBidi" w:cstheme="majorBidi"/>
                <w:color w:val="000000"/>
                <w:sz w:val="16"/>
                <w:szCs w:val="16"/>
              </w:rPr>
            </w:pPr>
            <w:r w:rsidRPr="00BD4B00">
              <w:rPr>
                <w:rFonts w:asciiTheme="majorBidi" w:hAnsiTheme="majorBidi" w:cstheme="majorBidi"/>
                <w:color w:val="000000"/>
                <w:sz w:val="16"/>
                <w:szCs w:val="16"/>
              </w:rPr>
              <w:t>-24,2</w:t>
            </w:r>
          </w:p>
        </w:tc>
        <w:tc>
          <w:tcPr>
            <w:tcW w:w="0" w:type="auto"/>
            <w:tcBorders>
              <w:top w:val="nil"/>
              <w:left w:val="nil"/>
              <w:bottom w:val="single" w:sz="4" w:space="0" w:color="auto"/>
              <w:right w:val="single" w:sz="4" w:space="0" w:color="auto"/>
            </w:tcBorders>
            <w:shd w:val="clear" w:color="auto" w:fill="auto"/>
            <w:vAlign w:val="center"/>
            <w:hideMark/>
          </w:tcPr>
          <w:p w:rsidR="00352124" w:rsidRPr="00BD4B00" w:rsidRDefault="00352124" w:rsidP="00BD4B00">
            <w:pPr>
              <w:widowControl/>
              <w:autoSpaceDE/>
              <w:autoSpaceDN/>
              <w:adjustRightInd/>
              <w:spacing w:line="360" w:lineRule="auto"/>
              <w:jc w:val="center"/>
              <w:rPr>
                <w:rFonts w:asciiTheme="majorBidi" w:hAnsiTheme="majorBidi" w:cstheme="majorBidi"/>
                <w:color w:val="000000"/>
                <w:sz w:val="16"/>
                <w:szCs w:val="16"/>
              </w:rPr>
            </w:pPr>
            <w:r w:rsidRPr="00BD4B00">
              <w:rPr>
                <w:rFonts w:asciiTheme="majorBidi" w:hAnsiTheme="majorBidi" w:cstheme="majorBidi"/>
                <w:color w:val="000000"/>
                <w:sz w:val="16"/>
                <w:szCs w:val="16"/>
              </w:rPr>
              <w:t>-21,2</w:t>
            </w:r>
          </w:p>
        </w:tc>
        <w:tc>
          <w:tcPr>
            <w:tcW w:w="0" w:type="auto"/>
            <w:tcBorders>
              <w:top w:val="nil"/>
              <w:left w:val="nil"/>
              <w:bottom w:val="single" w:sz="4" w:space="0" w:color="auto"/>
              <w:right w:val="single" w:sz="4" w:space="0" w:color="auto"/>
            </w:tcBorders>
            <w:shd w:val="clear" w:color="auto" w:fill="auto"/>
            <w:vAlign w:val="center"/>
            <w:hideMark/>
          </w:tcPr>
          <w:p w:rsidR="00352124" w:rsidRPr="00BD4B00" w:rsidRDefault="00352124" w:rsidP="00BD4B00">
            <w:pPr>
              <w:widowControl/>
              <w:autoSpaceDE/>
              <w:autoSpaceDN/>
              <w:adjustRightInd/>
              <w:spacing w:line="360" w:lineRule="auto"/>
              <w:jc w:val="center"/>
              <w:rPr>
                <w:rFonts w:asciiTheme="majorBidi" w:hAnsiTheme="majorBidi" w:cstheme="majorBidi"/>
                <w:color w:val="000000"/>
                <w:sz w:val="16"/>
                <w:szCs w:val="16"/>
              </w:rPr>
            </w:pPr>
            <w:r w:rsidRPr="00BD4B00">
              <w:rPr>
                <w:rFonts w:asciiTheme="majorBidi" w:hAnsiTheme="majorBidi" w:cstheme="majorBidi"/>
                <w:color w:val="000000"/>
                <w:sz w:val="16"/>
                <w:szCs w:val="16"/>
              </w:rPr>
              <w:t>-20,7</w:t>
            </w:r>
          </w:p>
        </w:tc>
        <w:tc>
          <w:tcPr>
            <w:tcW w:w="0" w:type="auto"/>
            <w:tcBorders>
              <w:top w:val="nil"/>
              <w:left w:val="nil"/>
              <w:bottom w:val="single" w:sz="4" w:space="0" w:color="auto"/>
              <w:right w:val="single" w:sz="4" w:space="0" w:color="auto"/>
            </w:tcBorders>
            <w:shd w:val="clear" w:color="auto" w:fill="auto"/>
            <w:vAlign w:val="center"/>
            <w:hideMark/>
          </w:tcPr>
          <w:p w:rsidR="00352124" w:rsidRPr="00BD4B00" w:rsidRDefault="00352124" w:rsidP="00BD4B00">
            <w:pPr>
              <w:widowControl/>
              <w:autoSpaceDE/>
              <w:autoSpaceDN/>
              <w:adjustRightInd/>
              <w:spacing w:line="360" w:lineRule="auto"/>
              <w:jc w:val="center"/>
              <w:rPr>
                <w:rFonts w:asciiTheme="majorBidi" w:hAnsiTheme="majorBidi" w:cstheme="majorBidi"/>
                <w:color w:val="000000"/>
                <w:sz w:val="16"/>
                <w:szCs w:val="16"/>
              </w:rPr>
            </w:pPr>
            <w:r w:rsidRPr="00BD4B00">
              <w:rPr>
                <w:rFonts w:asciiTheme="majorBidi" w:hAnsiTheme="majorBidi" w:cstheme="majorBidi"/>
                <w:color w:val="000000"/>
                <w:sz w:val="16"/>
                <w:szCs w:val="16"/>
              </w:rPr>
              <w:t>-18,2</w:t>
            </w:r>
          </w:p>
        </w:tc>
        <w:tc>
          <w:tcPr>
            <w:tcW w:w="0" w:type="auto"/>
            <w:tcBorders>
              <w:top w:val="nil"/>
              <w:left w:val="nil"/>
              <w:bottom w:val="single" w:sz="4" w:space="0" w:color="auto"/>
              <w:right w:val="single" w:sz="4" w:space="0" w:color="auto"/>
            </w:tcBorders>
            <w:shd w:val="clear" w:color="auto" w:fill="auto"/>
            <w:vAlign w:val="center"/>
            <w:hideMark/>
          </w:tcPr>
          <w:p w:rsidR="00352124" w:rsidRPr="00BD4B00" w:rsidRDefault="00352124" w:rsidP="00BD4B00">
            <w:pPr>
              <w:widowControl/>
              <w:autoSpaceDE/>
              <w:autoSpaceDN/>
              <w:adjustRightInd/>
              <w:spacing w:line="360" w:lineRule="auto"/>
              <w:jc w:val="center"/>
              <w:rPr>
                <w:rFonts w:asciiTheme="majorBidi" w:hAnsiTheme="majorBidi" w:cstheme="majorBidi"/>
                <w:color w:val="000000"/>
                <w:sz w:val="16"/>
                <w:szCs w:val="16"/>
              </w:rPr>
            </w:pPr>
            <w:r w:rsidRPr="00BD4B00">
              <w:rPr>
                <w:rFonts w:asciiTheme="majorBidi" w:hAnsiTheme="majorBidi" w:cstheme="majorBidi"/>
                <w:color w:val="000000"/>
                <w:sz w:val="16"/>
                <w:szCs w:val="16"/>
              </w:rPr>
              <w:t>-15,2</w:t>
            </w:r>
          </w:p>
        </w:tc>
        <w:tc>
          <w:tcPr>
            <w:tcW w:w="0" w:type="auto"/>
            <w:tcBorders>
              <w:top w:val="nil"/>
              <w:left w:val="nil"/>
              <w:bottom w:val="single" w:sz="4" w:space="0" w:color="auto"/>
              <w:right w:val="single" w:sz="4" w:space="0" w:color="auto"/>
            </w:tcBorders>
            <w:shd w:val="clear" w:color="auto" w:fill="auto"/>
            <w:vAlign w:val="center"/>
            <w:hideMark/>
          </w:tcPr>
          <w:p w:rsidR="00352124" w:rsidRPr="00BD4B00" w:rsidRDefault="00352124" w:rsidP="00BD4B00">
            <w:pPr>
              <w:widowControl/>
              <w:autoSpaceDE/>
              <w:autoSpaceDN/>
              <w:adjustRightInd/>
              <w:spacing w:line="360" w:lineRule="auto"/>
              <w:jc w:val="center"/>
              <w:rPr>
                <w:rFonts w:asciiTheme="majorBidi" w:hAnsiTheme="majorBidi" w:cstheme="majorBidi"/>
                <w:color w:val="000000"/>
                <w:sz w:val="16"/>
                <w:szCs w:val="16"/>
              </w:rPr>
            </w:pPr>
            <w:r w:rsidRPr="00BD4B00">
              <w:rPr>
                <w:rFonts w:asciiTheme="majorBidi" w:hAnsiTheme="majorBidi" w:cstheme="majorBidi"/>
                <w:color w:val="000000"/>
                <w:sz w:val="16"/>
                <w:szCs w:val="16"/>
              </w:rPr>
              <w:t>-18,1</w:t>
            </w:r>
          </w:p>
        </w:tc>
        <w:tc>
          <w:tcPr>
            <w:tcW w:w="0" w:type="auto"/>
            <w:tcBorders>
              <w:top w:val="nil"/>
              <w:left w:val="nil"/>
              <w:bottom w:val="single" w:sz="4" w:space="0" w:color="auto"/>
              <w:right w:val="single" w:sz="4" w:space="0" w:color="auto"/>
            </w:tcBorders>
            <w:shd w:val="clear" w:color="auto" w:fill="auto"/>
            <w:vAlign w:val="center"/>
            <w:hideMark/>
          </w:tcPr>
          <w:p w:rsidR="00352124" w:rsidRPr="00BD4B00" w:rsidRDefault="00352124" w:rsidP="00BD4B00">
            <w:pPr>
              <w:widowControl/>
              <w:autoSpaceDE/>
              <w:autoSpaceDN/>
              <w:adjustRightInd/>
              <w:spacing w:line="360" w:lineRule="auto"/>
              <w:jc w:val="center"/>
              <w:rPr>
                <w:rFonts w:asciiTheme="majorBidi" w:hAnsiTheme="majorBidi" w:cstheme="majorBidi"/>
                <w:color w:val="000000"/>
                <w:sz w:val="16"/>
                <w:szCs w:val="16"/>
              </w:rPr>
            </w:pPr>
            <w:r w:rsidRPr="00BD4B00">
              <w:rPr>
                <w:rFonts w:asciiTheme="majorBidi" w:hAnsiTheme="majorBidi" w:cstheme="majorBidi"/>
                <w:color w:val="000000"/>
                <w:sz w:val="16"/>
                <w:szCs w:val="16"/>
              </w:rPr>
              <w:t>-16,7</w:t>
            </w:r>
          </w:p>
        </w:tc>
        <w:tc>
          <w:tcPr>
            <w:tcW w:w="0" w:type="auto"/>
            <w:tcBorders>
              <w:top w:val="nil"/>
              <w:left w:val="nil"/>
              <w:bottom w:val="single" w:sz="4" w:space="0" w:color="auto"/>
              <w:right w:val="single" w:sz="4" w:space="0" w:color="auto"/>
            </w:tcBorders>
            <w:shd w:val="clear" w:color="auto" w:fill="auto"/>
            <w:vAlign w:val="center"/>
            <w:hideMark/>
          </w:tcPr>
          <w:p w:rsidR="00352124" w:rsidRPr="00BD4B00" w:rsidRDefault="00352124" w:rsidP="00BD4B00">
            <w:pPr>
              <w:widowControl/>
              <w:autoSpaceDE/>
              <w:autoSpaceDN/>
              <w:adjustRightInd/>
              <w:spacing w:line="360" w:lineRule="auto"/>
              <w:jc w:val="center"/>
              <w:rPr>
                <w:rFonts w:asciiTheme="majorBidi" w:hAnsiTheme="majorBidi" w:cstheme="majorBidi"/>
                <w:color w:val="000000"/>
                <w:sz w:val="16"/>
                <w:szCs w:val="16"/>
              </w:rPr>
            </w:pPr>
            <w:r w:rsidRPr="00BD4B00">
              <w:rPr>
                <w:rFonts w:asciiTheme="majorBidi" w:hAnsiTheme="majorBidi" w:cstheme="majorBidi"/>
                <w:color w:val="000000"/>
                <w:sz w:val="16"/>
                <w:szCs w:val="16"/>
              </w:rPr>
              <w:t>-14,5</w:t>
            </w:r>
          </w:p>
        </w:tc>
        <w:tc>
          <w:tcPr>
            <w:tcW w:w="0" w:type="auto"/>
            <w:tcBorders>
              <w:top w:val="nil"/>
              <w:left w:val="nil"/>
              <w:bottom w:val="single" w:sz="4" w:space="0" w:color="auto"/>
              <w:right w:val="single" w:sz="4" w:space="0" w:color="auto"/>
            </w:tcBorders>
            <w:shd w:val="clear" w:color="auto" w:fill="auto"/>
            <w:vAlign w:val="center"/>
            <w:hideMark/>
          </w:tcPr>
          <w:p w:rsidR="00352124" w:rsidRPr="00BD4B00" w:rsidRDefault="00352124" w:rsidP="00BD4B00">
            <w:pPr>
              <w:widowControl/>
              <w:autoSpaceDE/>
              <w:autoSpaceDN/>
              <w:adjustRightInd/>
              <w:spacing w:line="360" w:lineRule="auto"/>
              <w:jc w:val="center"/>
              <w:rPr>
                <w:rFonts w:asciiTheme="majorBidi" w:hAnsiTheme="majorBidi" w:cstheme="majorBidi"/>
                <w:color w:val="000000"/>
                <w:sz w:val="16"/>
                <w:szCs w:val="16"/>
              </w:rPr>
            </w:pPr>
            <w:r w:rsidRPr="00BD4B00">
              <w:rPr>
                <w:rFonts w:asciiTheme="majorBidi" w:hAnsiTheme="majorBidi" w:cstheme="majorBidi"/>
                <w:color w:val="000000"/>
                <w:sz w:val="16"/>
                <w:szCs w:val="16"/>
              </w:rPr>
              <w:t>-16,6</w:t>
            </w:r>
          </w:p>
        </w:tc>
        <w:tc>
          <w:tcPr>
            <w:tcW w:w="0" w:type="auto"/>
            <w:tcBorders>
              <w:top w:val="nil"/>
              <w:left w:val="nil"/>
              <w:bottom w:val="single" w:sz="4" w:space="0" w:color="auto"/>
              <w:right w:val="single" w:sz="4" w:space="0" w:color="auto"/>
            </w:tcBorders>
            <w:shd w:val="clear" w:color="auto" w:fill="auto"/>
            <w:vAlign w:val="center"/>
            <w:hideMark/>
          </w:tcPr>
          <w:p w:rsidR="00352124" w:rsidRPr="00BD4B00" w:rsidRDefault="00352124" w:rsidP="00BD4B00">
            <w:pPr>
              <w:widowControl/>
              <w:autoSpaceDE/>
              <w:autoSpaceDN/>
              <w:adjustRightInd/>
              <w:spacing w:line="360" w:lineRule="auto"/>
              <w:jc w:val="center"/>
              <w:rPr>
                <w:rFonts w:asciiTheme="majorBidi" w:hAnsiTheme="majorBidi" w:cstheme="majorBidi"/>
                <w:color w:val="000000"/>
                <w:sz w:val="16"/>
                <w:szCs w:val="16"/>
              </w:rPr>
            </w:pPr>
            <w:r w:rsidRPr="00BD4B00">
              <w:rPr>
                <w:rFonts w:asciiTheme="majorBidi" w:hAnsiTheme="majorBidi" w:cstheme="majorBidi"/>
                <w:color w:val="000000"/>
                <w:sz w:val="16"/>
                <w:szCs w:val="16"/>
              </w:rPr>
              <w:t>-26,8</w:t>
            </w:r>
          </w:p>
        </w:tc>
        <w:tc>
          <w:tcPr>
            <w:tcW w:w="0" w:type="auto"/>
            <w:tcBorders>
              <w:top w:val="nil"/>
              <w:left w:val="nil"/>
              <w:bottom w:val="single" w:sz="4" w:space="0" w:color="auto"/>
              <w:right w:val="single" w:sz="4" w:space="0" w:color="auto"/>
            </w:tcBorders>
            <w:shd w:val="clear" w:color="auto" w:fill="auto"/>
            <w:vAlign w:val="center"/>
            <w:hideMark/>
          </w:tcPr>
          <w:p w:rsidR="00352124" w:rsidRPr="00BD4B00" w:rsidRDefault="00352124" w:rsidP="00BD4B00">
            <w:pPr>
              <w:widowControl/>
              <w:autoSpaceDE/>
              <w:autoSpaceDN/>
              <w:adjustRightInd/>
              <w:spacing w:line="360" w:lineRule="auto"/>
              <w:jc w:val="center"/>
              <w:rPr>
                <w:rFonts w:asciiTheme="majorBidi" w:hAnsiTheme="majorBidi" w:cstheme="majorBidi"/>
                <w:color w:val="000000"/>
                <w:sz w:val="16"/>
                <w:szCs w:val="16"/>
              </w:rPr>
            </w:pPr>
            <w:r w:rsidRPr="00BD4B00">
              <w:rPr>
                <w:rFonts w:asciiTheme="majorBidi" w:hAnsiTheme="majorBidi" w:cstheme="majorBidi"/>
                <w:color w:val="000000"/>
                <w:sz w:val="16"/>
                <w:szCs w:val="16"/>
              </w:rPr>
              <w:t>-33,3</w:t>
            </w:r>
          </w:p>
        </w:tc>
        <w:tc>
          <w:tcPr>
            <w:tcW w:w="0" w:type="auto"/>
            <w:tcBorders>
              <w:top w:val="nil"/>
              <w:left w:val="nil"/>
              <w:bottom w:val="single" w:sz="4" w:space="0" w:color="auto"/>
              <w:right w:val="single" w:sz="4" w:space="0" w:color="auto"/>
            </w:tcBorders>
            <w:shd w:val="clear" w:color="auto" w:fill="auto"/>
            <w:vAlign w:val="center"/>
            <w:hideMark/>
          </w:tcPr>
          <w:p w:rsidR="00352124" w:rsidRPr="00BD4B00" w:rsidRDefault="00352124" w:rsidP="00BD4B00">
            <w:pPr>
              <w:widowControl/>
              <w:autoSpaceDE/>
              <w:autoSpaceDN/>
              <w:adjustRightInd/>
              <w:spacing w:line="360" w:lineRule="auto"/>
              <w:jc w:val="center"/>
              <w:rPr>
                <w:rFonts w:asciiTheme="majorBidi" w:hAnsiTheme="majorBidi" w:cstheme="majorBidi"/>
                <w:color w:val="000000"/>
                <w:sz w:val="16"/>
                <w:szCs w:val="16"/>
              </w:rPr>
            </w:pPr>
            <w:r w:rsidRPr="00BD4B00">
              <w:rPr>
                <w:rFonts w:asciiTheme="majorBidi" w:hAnsiTheme="majorBidi" w:cstheme="majorBidi"/>
                <w:color w:val="000000"/>
                <w:sz w:val="16"/>
                <w:szCs w:val="16"/>
              </w:rPr>
              <w:t>-27</w:t>
            </w:r>
          </w:p>
        </w:tc>
        <w:tc>
          <w:tcPr>
            <w:tcW w:w="0" w:type="auto"/>
            <w:tcBorders>
              <w:top w:val="nil"/>
              <w:left w:val="nil"/>
              <w:bottom w:val="single" w:sz="4" w:space="0" w:color="auto"/>
              <w:right w:val="single" w:sz="4" w:space="0" w:color="auto"/>
            </w:tcBorders>
            <w:shd w:val="clear" w:color="auto" w:fill="auto"/>
            <w:vAlign w:val="center"/>
            <w:hideMark/>
          </w:tcPr>
          <w:p w:rsidR="00352124" w:rsidRPr="00BD4B00" w:rsidRDefault="00352124" w:rsidP="00BD4B00">
            <w:pPr>
              <w:widowControl/>
              <w:autoSpaceDE/>
              <w:autoSpaceDN/>
              <w:adjustRightInd/>
              <w:spacing w:line="360" w:lineRule="auto"/>
              <w:jc w:val="center"/>
              <w:rPr>
                <w:rFonts w:asciiTheme="majorBidi" w:hAnsiTheme="majorBidi" w:cstheme="majorBidi"/>
                <w:color w:val="000000"/>
                <w:sz w:val="16"/>
                <w:szCs w:val="16"/>
              </w:rPr>
            </w:pPr>
            <w:r w:rsidRPr="00BD4B00">
              <w:rPr>
                <w:rFonts w:asciiTheme="majorBidi" w:hAnsiTheme="majorBidi" w:cstheme="majorBidi"/>
                <w:color w:val="000000"/>
                <w:sz w:val="16"/>
                <w:szCs w:val="16"/>
              </w:rPr>
              <w:t>-22,8</w:t>
            </w:r>
          </w:p>
        </w:tc>
        <w:tc>
          <w:tcPr>
            <w:tcW w:w="0" w:type="auto"/>
            <w:tcBorders>
              <w:top w:val="nil"/>
              <w:left w:val="nil"/>
              <w:bottom w:val="single" w:sz="4" w:space="0" w:color="auto"/>
              <w:right w:val="single" w:sz="4" w:space="0" w:color="auto"/>
            </w:tcBorders>
            <w:shd w:val="clear" w:color="auto" w:fill="auto"/>
            <w:vAlign w:val="center"/>
            <w:hideMark/>
          </w:tcPr>
          <w:p w:rsidR="00352124" w:rsidRPr="00BD4B00" w:rsidRDefault="00352124" w:rsidP="00BD4B00">
            <w:pPr>
              <w:widowControl/>
              <w:autoSpaceDE/>
              <w:autoSpaceDN/>
              <w:adjustRightInd/>
              <w:spacing w:line="360" w:lineRule="auto"/>
              <w:jc w:val="center"/>
              <w:rPr>
                <w:rFonts w:asciiTheme="majorBidi" w:hAnsiTheme="majorBidi" w:cstheme="majorBidi"/>
                <w:color w:val="000000"/>
                <w:sz w:val="16"/>
                <w:szCs w:val="16"/>
              </w:rPr>
            </w:pPr>
            <w:r w:rsidRPr="00BD4B00">
              <w:rPr>
                <w:rFonts w:asciiTheme="majorBidi" w:hAnsiTheme="majorBidi" w:cstheme="majorBidi"/>
                <w:color w:val="000000"/>
                <w:sz w:val="16"/>
                <w:szCs w:val="16"/>
              </w:rPr>
              <w:t>-27,4</w:t>
            </w:r>
          </w:p>
        </w:tc>
        <w:tc>
          <w:tcPr>
            <w:tcW w:w="0" w:type="auto"/>
            <w:tcBorders>
              <w:top w:val="nil"/>
              <w:left w:val="nil"/>
              <w:bottom w:val="single" w:sz="4" w:space="0" w:color="auto"/>
              <w:right w:val="single" w:sz="4" w:space="0" w:color="auto"/>
            </w:tcBorders>
            <w:shd w:val="clear" w:color="auto" w:fill="auto"/>
            <w:vAlign w:val="center"/>
            <w:hideMark/>
          </w:tcPr>
          <w:p w:rsidR="00352124" w:rsidRPr="00BD4B00" w:rsidRDefault="00352124" w:rsidP="00BD4B00">
            <w:pPr>
              <w:widowControl/>
              <w:autoSpaceDE/>
              <w:autoSpaceDN/>
              <w:bidi/>
              <w:adjustRightInd/>
              <w:spacing w:line="360" w:lineRule="auto"/>
              <w:rPr>
                <w:rFonts w:asciiTheme="majorBidi" w:hAnsiTheme="majorBidi" w:cstheme="majorBidi"/>
                <w:b/>
                <w:bCs/>
                <w:color w:val="000000"/>
                <w:sz w:val="16"/>
                <w:szCs w:val="16"/>
              </w:rPr>
            </w:pPr>
            <w:r w:rsidRPr="00BD4B00">
              <w:rPr>
                <w:rFonts w:asciiTheme="majorBidi" w:hAnsiTheme="majorBidi" w:cstheme="majorBidi"/>
                <w:b/>
                <w:bCs/>
                <w:color w:val="000000"/>
                <w:sz w:val="16"/>
                <w:szCs w:val="16"/>
                <w:rtl/>
              </w:rPr>
              <w:t>التطور السابق للوضعية المالية للأسرة</w:t>
            </w:r>
          </w:p>
        </w:tc>
      </w:tr>
      <w:tr w:rsidR="00696211" w:rsidRPr="00BD4B00" w:rsidTr="00BD4B00">
        <w:trPr>
          <w:trHeight w:val="888"/>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352124" w:rsidRPr="00BD4B00" w:rsidRDefault="00352124" w:rsidP="00BD4B00">
            <w:pPr>
              <w:widowControl/>
              <w:autoSpaceDE/>
              <w:autoSpaceDN/>
              <w:adjustRightInd/>
              <w:spacing w:line="360" w:lineRule="auto"/>
              <w:jc w:val="center"/>
              <w:rPr>
                <w:rFonts w:asciiTheme="majorBidi" w:hAnsiTheme="majorBidi" w:cstheme="majorBidi"/>
                <w:color w:val="000000"/>
                <w:sz w:val="16"/>
                <w:szCs w:val="16"/>
              </w:rPr>
            </w:pPr>
            <w:r w:rsidRPr="00BD4B00">
              <w:rPr>
                <w:rFonts w:asciiTheme="majorBidi" w:hAnsiTheme="majorBidi" w:cstheme="majorBidi"/>
                <w:color w:val="000000"/>
                <w:sz w:val="16"/>
                <w:szCs w:val="16"/>
              </w:rPr>
              <w:t>-7,7</w:t>
            </w:r>
          </w:p>
        </w:tc>
        <w:tc>
          <w:tcPr>
            <w:tcW w:w="590" w:type="dxa"/>
            <w:tcBorders>
              <w:top w:val="nil"/>
              <w:left w:val="nil"/>
              <w:bottom w:val="single" w:sz="4" w:space="0" w:color="auto"/>
              <w:right w:val="single" w:sz="4" w:space="0" w:color="auto"/>
            </w:tcBorders>
            <w:shd w:val="clear" w:color="auto" w:fill="auto"/>
            <w:vAlign w:val="center"/>
            <w:hideMark/>
          </w:tcPr>
          <w:p w:rsidR="00352124" w:rsidRPr="00BD4B00" w:rsidRDefault="00352124" w:rsidP="00BD4B00">
            <w:pPr>
              <w:widowControl/>
              <w:autoSpaceDE/>
              <w:autoSpaceDN/>
              <w:adjustRightInd/>
              <w:spacing w:line="360" w:lineRule="auto"/>
              <w:jc w:val="center"/>
              <w:rPr>
                <w:rFonts w:asciiTheme="majorBidi" w:hAnsiTheme="majorBidi" w:cstheme="majorBidi"/>
                <w:color w:val="000000"/>
                <w:sz w:val="16"/>
                <w:szCs w:val="16"/>
              </w:rPr>
            </w:pPr>
            <w:r w:rsidRPr="00BD4B00">
              <w:rPr>
                <w:rFonts w:asciiTheme="majorBidi" w:hAnsiTheme="majorBidi" w:cstheme="majorBidi"/>
                <w:color w:val="000000"/>
                <w:sz w:val="16"/>
                <w:szCs w:val="16"/>
              </w:rPr>
              <w:t>-5,9</w:t>
            </w:r>
          </w:p>
        </w:tc>
        <w:tc>
          <w:tcPr>
            <w:tcW w:w="0" w:type="auto"/>
            <w:tcBorders>
              <w:top w:val="nil"/>
              <w:left w:val="nil"/>
              <w:bottom w:val="single" w:sz="4" w:space="0" w:color="auto"/>
              <w:right w:val="single" w:sz="4" w:space="0" w:color="auto"/>
            </w:tcBorders>
            <w:shd w:val="clear" w:color="auto" w:fill="auto"/>
            <w:vAlign w:val="center"/>
            <w:hideMark/>
          </w:tcPr>
          <w:p w:rsidR="00352124" w:rsidRPr="00BD4B00" w:rsidRDefault="00352124" w:rsidP="00BD4B00">
            <w:pPr>
              <w:widowControl/>
              <w:autoSpaceDE/>
              <w:autoSpaceDN/>
              <w:adjustRightInd/>
              <w:spacing w:line="360" w:lineRule="auto"/>
              <w:jc w:val="center"/>
              <w:rPr>
                <w:rFonts w:asciiTheme="majorBidi" w:hAnsiTheme="majorBidi" w:cstheme="majorBidi"/>
                <w:color w:val="000000"/>
                <w:sz w:val="16"/>
                <w:szCs w:val="16"/>
              </w:rPr>
            </w:pPr>
            <w:r w:rsidRPr="00BD4B00">
              <w:rPr>
                <w:rFonts w:asciiTheme="majorBidi" w:hAnsiTheme="majorBidi" w:cstheme="majorBidi"/>
                <w:color w:val="000000"/>
                <w:sz w:val="16"/>
                <w:szCs w:val="16"/>
              </w:rPr>
              <w:t>-0,1</w:t>
            </w:r>
          </w:p>
        </w:tc>
        <w:tc>
          <w:tcPr>
            <w:tcW w:w="0" w:type="auto"/>
            <w:tcBorders>
              <w:top w:val="nil"/>
              <w:left w:val="nil"/>
              <w:bottom w:val="single" w:sz="4" w:space="0" w:color="auto"/>
              <w:right w:val="single" w:sz="4" w:space="0" w:color="auto"/>
            </w:tcBorders>
            <w:shd w:val="clear" w:color="auto" w:fill="auto"/>
            <w:vAlign w:val="center"/>
            <w:hideMark/>
          </w:tcPr>
          <w:p w:rsidR="00352124" w:rsidRPr="00BD4B00" w:rsidRDefault="00352124" w:rsidP="00BD4B00">
            <w:pPr>
              <w:widowControl/>
              <w:autoSpaceDE/>
              <w:autoSpaceDN/>
              <w:adjustRightInd/>
              <w:spacing w:line="360" w:lineRule="auto"/>
              <w:jc w:val="center"/>
              <w:rPr>
                <w:rFonts w:asciiTheme="majorBidi" w:hAnsiTheme="majorBidi" w:cstheme="majorBidi"/>
                <w:color w:val="000000"/>
                <w:sz w:val="16"/>
                <w:szCs w:val="16"/>
              </w:rPr>
            </w:pPr>
            <w:r w:rsidRPr="00BD4B00">
              <w:rPr>
                <w:rFonts w:asciiTheme="majorBidi" w:hAnsiTheme="majorBidi" w:cstheme="majorBidi"/>
                <w:color w:val="000000"/>
                <w:sz w:val="16"/>
                <w:szCs w:val="16"/>
              </w:rPr>
              <w:t>8,3</w:t>
            </w:r>
          </w:p>
        </w:tc>
        <w:tc>
          <w:tcPr>
            <w:tcW w:w="0" w:type="auto"/>
            <w:tcBorders>
              <w:top w:val="nil"/>
              <w:left w:val="nil"/>
              <w:bottom w:val="single" w:sz="4" w:space="0" w:color="auto"/>
              <w:right w:val="single" w:sz="4" w:space="0" w:color="auto"/>
            </w:tcBorders>
            <w:shd w:val="clear" w:color="auto" w:fill="auto"/>
            <w:vAlign w:val="center"/>
            <w:hideMark/>
          </w:tcPr>
          <w:p w:rsidR="00352124" w:rsidRPr="00BD4B00" w:rsidRDefault="00352124" w:rsidP="00BD4B00">
            <w:pPr>
              <w:widowControl/>
              <w:autoSpaceDE/>
              <w:autoSpaceDN/>
              <w:adjustRightInd/>
              <w:spacing w:line="360" w:lineRule="auto"/>
              <w:jc w:val="center"/>
              <w:rPr>
                <w:rFonts w:asciiTheme="majorBidi" w:hAnsiTheme="majorBidi" w:cstheme="majorBidi"/>
                <w:color w:val="000000"/>
                <w:sz w:val="16"/>
                <w:szCs w:val="16"/>
              </w:rPr>
            </w:pPr>
            <w:r w:rsidRPr="00BD4B00">
              <w:rPr>
                <w:rFonts w:asciiTheme="majorBidi" w:hAnsiTheme="majorBidi" w:cstheme="majorBidi"/>
                <w:color w:val="000000"/>
                <w:sz w:val="16"/>
                <w:szCs w:val="16"/>
              </w:rPr>
              <w:t>15,1</w:t>
            </w:r>
          </w:p>
        </w:tc>
        <w:tc>
          <w:tcPr>
            <w:tcW w:w="0" w:type="auto"/>
            <w:tcBorders>
              <w:top w:val="nil"/>
              <w:left w:val="nil"/>
              <w:bottom w:val="single" w:sz="4" w:space="0" w:color="auto"/>
              <w:right w:val="single" w:sz="4" w:space="0" w:color="auto"/>
            </w:tcBorders>
            <w:shd w:val="clear" w:color="auto" w:fill="auto"/>
            <w:vAlign w:val="center"/>
            <w:hideMark/>
          </w:tcPr>
          <w:p w:rsidR="00352124" w:rsidRPr="00BD4B00" w:rsidRDefault="00352124" w:rsidP="00BD4B00">
            <w:pPr>
              <w:widowControl/>
              <w:autoSpaceDE/>
              <w:autoSpaceDN/>
              <w:adjustRightInd/>
              <w:spacing w:line="360" w:lineRule="auto"/>
              <w:jc w:val="center"/>
              <w:rPr>
                <w:rFonts w:asciiTheme="majorBidi" w:hAnsiTheme="majorBidi" w:cstheme="majorBidi"/>
                <w:color w:val="000000"/>
                <w:sz w:val="16"/>
                <w:szCs w:val="16"/>
              </w:rPr>
            </w:pPr>
            <w:r w:rsidRPr="00BD4B00">
              <w:rPr>
                <w:rFonts w:asciiTheme="majorBidi" w:hAnsiTheme="majorBidi" w:cstheme="majorBidi"/>
                <w:color w:val="000000"/>
                <w:sz w:val="16"/>
                <w:szCs w:val="16"/>
              </w:rPr>
              <w:t>15,1</w:t>
            </w:r>
          </w:p>
        </w:tc>
        <w:tc>
          <w:tcPr>
            <w:tcW w:w="0" w:type="auto"/>
            <w:tcBorders>
              <w:top w:val="nil"/>
              <w:left w:val="nil"/>
              <w:bottom w:val="single" w:sz="4" w:space="0" w:color="auto"/>
              <w:right w:val="single" w:sz="4" w:space="0" w:color="auto"/>
            </w:tcBorders>
            <w:shd w:val="clear" w:color="auto" w:fill="auto"/>
            <w:vAlign w:val="center"/>
            <w:hideMark/>
          </w:tcPr>
          <w:p w:rsidR="00352124" w:rsidRPr="00BD4B00" w:rsidRDefault="00352124" w:rsidP="00BD4B00">
            <w:pPr>
              <w:widowControl/>
              <w:autoSpaceDE/>
              <w:autoSpaceDN/>
              <w:adjustRightInd/>
              <w:spacing w:line="360" w:lineRule="auto"/>
              <w:jc w:val="center"/>
              <w:rPr>
                <w:rFonts w:asciiTheme="majorBidi" w:hAnsiTheme="majorBidi" w:cstheme="majorBidi"/>
                <w:color w:val="000000"/>
                <w:sz w:val="16"/>
                <w:szCs w:val="16"/>
              </w:rPr>
            </w:pPr>
            <w:r w:rsidRPr="00BD4B00">
              <w:rPr>
                <w:rFonts w:asciiTheme="majorBidi" w:hAnsiTheme="majorBidi" w:cstheme="majorBidi"/>
                <w:color w:val="000000"/>
                <w:sz w:val="16"/>
                <w:szCs w:val="16"/>
              </w:rPr>
              <w:t>14,8</w:t>
            </w:r>
          </w:p>
        </w:tc>
        <w:tc>
          <w:tcPr>
            <w:tcW w:w="0" w:type="auto"/>
            <w:tcBorders>
              <w:top w:val="nil"/>
              <w:left w:val="nil"/>
              <w:bottom w:val="single" w:sz="4" w:space="0" w:color="auto"/>
              <w:right w:val="single" w:sz="4" w:space="0" w:color="auto"/>
            </w:tcBorders>
            <w:shd w:val="clear" w:color="auto" w:fill="auto"/>
            <w:vAlign w:val="center"/>
            <w:hideMark/>
          </w:tcPr>
          <w:p w:rsidR="00352124" w:rsidRPr="00BD4B00" w:rsidRDefault="00352124" w:rsidP="00BD4B00">
            <w:pPr>
              <w:widowControl/>
              <w:autoSpaceDE/>
              <w:autoSpaceDN/>
              <w:adjustRightInd/>
              <w:spacing w:line="360" w:lineRule="auto"/>
              <w:jc w:val="center"/>
              <w:rPr>
                <w:rFonts w:asciiTheme="majorBidi" w:hAnsiTheme="majorBidi" w:cstheme="majorBidi"/>
                <w:color w:val="000000"/>
                <w:sz w:val="16"/>
                <w:szCs w:val="16"/>
              </w:rPr>
            </w:pPr>
            <w:r w:rsidRPr="00BD4B00">
              <w:rPr>
                <w:rFonts w:asciiTheme="majorBidi" w:hAnsiTheme="majorBidi" w:cstheme="majorBidi"/>
                <w:color w:val="000000"/>
                <w:sz w:val="16"/>
                <w:szCs w:val="16"/>
              </w:rPr>
              <w:t>21,2</w:t>
            </w:r>
          </w:p>
        </w:tc>
        <w:tc>
          <w:tcPr>
            <w:tcW w:w="0" w:type="auto"/>
            <w:tcBorders>
              <w:top w:val="nil"/>
              <w:left w:val="nil"/>
              <w:bottom w:val="single" w:sz="4" w:space="0" w:color="auto"/>
              <w:right w:val="single" w:sz="4" w:space="0" w:color="auto"/>
            </w:tcBorders>
            <w:shd w:val="clear" w:color="auto" w:fill="auto"/>
            <w:vAlign w:val="center"/>
            <w:hideMark/>
          </w:tcPr>
          <w:p w:rsidR="00352124" w:rsidRPr="00BD4B00" w:rsidRDefault="00352124" w:rsidP="00BD4B00">
            <w:pPr>
              <w:widowControl/>
              <w:autoSpaceDE/>
              <w:autoSpaceDN/>
              <w:adjustRightInd/>
              <w:spacing w:line="360" w:lineRule="auto"/>
              <w:jc w:val="center"/>
              <w:rPr>
                <w:rFonts w:asciiTheme="majorBidi" w:hAnsiTheme="majorBidi" w:cstheme="majorBidi"/>
                <w:color w:val="000000"/>
                <w:sz w:val="16"/>
                <w:szCs w:val="16"/>
              </w:rPr>
            </w:pPr>
            <w:r w:rsidRPr="00BD4B00">
              <w:rPr>
                <w:rFonts w:asciiTheme="majorBidi" w:hAnsiTheme="majorBidi" w:cstheme="majorBidi"/>
                <w:color w:val="000000"/>
                <w:sz w:val="16"/>
                <w:szCs w:val="16"/>
              </w:rPr>
              <w:t>0,6</w:t>
            </w:r>
          </w:p>
        </w:tc>
        <w:tc>
          <w:tcPr>
            <w:tcW w:w="0" w:type="auto"/>
            <w:tcBorders>
              <w:top w:val="nil"/>
              <w:left w:val="nil"/>
              <w:bottom w:val="single" w:sz="4" w:space="0" w:color="auto"/>
              <w:right w:val="single" w:sz="4" w:space="0" w:color="auto"/>
            </w:tcBorders>
            <w:shd w:val="clear" w:color="auto" w:fill="auto"/>
            <w:vAlign w:val="center"/>
            <w:hideMark/>
          </w:tcPr>
          <w:p w:rsidR="00352124" w:rsidRPr="00BD4B00" w:rsidRDefault="00352124" w:rsidP="00BD4B00">
            <w:pPr>
              <w:widowControl/>
              <w:autoSpaceDE/>
              <w:autoSpaceDN/>
              <w:adjustRightInd/>
              <w:spacing w:line="360" w:lineRule="auto"/>
              <w:jc w:val="center"/>
              <w:rPr>
                <w:rFonts w:asciiTheme="majorBidi" w:hAnsiTheme="majorBidi" w:cstheme="majorBidi"/>
                <w:color w:val="000000"/>
                <w:sz w:val="16"/>
                <w:szCs w:val="16"/>
              </w:rPr>
            </w:pPr>
            <w:r w:rsidRPr="00BD4B00">
              <w:rPr>
                <w:rFonts w:asciiTheme="majorBidi" w:hAnsiTheme="majorBidi" w:cstheme="majorBidi"/>
                <w:color w:val="000000"/>
                <w:sz w:val="16"/>
                <w:szCs w:val="16"/>
              </w:rPr>
              <w:t>-11,9</w:t>
            </w:r>
          </w:p>
        </w:tc>
        <w:tc>
          <w:tcPr>
            <w:tcW w:w="0" w:type="auto"/>
            <w:tcBorders>
              <w:top w:val="nil"/>
              <w:left w:val="nil"/>
              <w:bottom w:val="single" w:sz="4" w:space="0" w:color="auto"/>
              <w:right w:val="single" w:sz="4" w:space="0" w:color="auto"/>
            </w:tcBorders>
            <w:shd w:val="clear" w:color="auto" w:fill="auto"/>
            <w:vAlign w:val="center"/>
            <w:hideMark/>
          </w:tcPr>
          <w:p w:rsidR="00352124" w:rsidRPr="00BD4B00" w:rsidRDefault="00352124" w:rsidP="00BD4B00">
            <w:pPr>
              <w:widowControl/>
              <w:autoSpaceDE/>
              <w:autoSpaceDN/>
              <w:adjustRightInd/>
              <w:spacing w:line="360" w:lineRule="auto"/>
              <w:jc w:val="center"/>
              <w:rPr>
                <w:rFonts w:asciiTheme="majorBidi" w:hAnsiTheme="majorBidi" w:cstheme="majorBidi"/>
                <w:color w:val="000000"/>
                <w:sz w:val="16"/>
                <w:szCs w:val="16"/>
              </w:rPr>
            </w:pPr>
            <w:r w:rsidRPr="00BD4B00">
              <w:rPr>
                <w:rFonts w:asciiTheme="majorBidi" w:hAnsiTheme="majorBidi" w:cstheme="majorBidi"/>
                <w:color w:val="000000"/>
                <w:sz w:val="16"/>
                <w:szCs w:val="16"/>
              </w:rPr>
              <w:t>-4,6</w:t>
            </w:r>
          </w:p>
        </w:tc>
        <w:tc>
          <w:tcPr>
            <w:tcW w:w="0" w:type="auto"/>
            <w:tcBorders>
              <w:top w:val="nil"/>
              <w:left w:val="nil"/>
              <w:bottom w:val="single" w:sz="4" w:space="0" w:color="auto"/>
              <w:right w:val="single" w:sz="4" w:space="0" w:color="auto"/>
            </w:tcBorders>
            <w:shd w:val="clear" w:color="auto" w:fill="auto"/>
            <w:vAlign w:val="center"/>
            <w:hideMark/>
          </w:tcPr>
          <w:p w:rsidR="00352124" w:rsidRPr="00BD4B00" w:rsidRDefault="00352124" w:rsidP="00BD4B00">
            <w:pPr>
              <w:widowControl/>
              <w:autoSpaceDE/>
              <w:autoSpaceDN/>
              <w:adjustRightInd/>
              <w:spacing w:line="360" w:lineRule="auto"/>
              <w:jc w:val="center"/>
              <w:rPr>
                <w:rFonts w:asciiTheme="majorBidi" w:hAnsiTheme="majorBidi" w:cstheme="majorBidi"/>
                <w:color w:val="000000"/>
                <w:sz w:val="16"/>
                <w:szCs w:val="16"/>
              </w:rPr>
            </w:pPr>
            <w:r w:rsidRPr="00BD4B00">
              <w:rPr>
                <w:rFonts w:asciiTheme="majorBidi" w:hAnsiTheme="majorBidi" w:cstheme="majorBidi"/>
                <w:color w:val="000000"/>
                <w:sz w:val="16"/>
                <w:szCs w:val="16"/>
              </w:rPr>
              <w:t>8,5</w:t>
            </w:r>
          </w:p>
        </w:tc>
        <w:tc>
          <w:tcPr>
            <w:tcW w:w="0" w:type="auto"/>
            <w:tcBorders>
              <w:top w:val="nil"/>
              <w:left w:val="nil"/>
              <w:bottom w:val="single" w:sz="4" w:space="0" w:color="auto"/>
              <w:right w:val="single" w:sz="4" w:space="0" w:color="auto"/>
            </w:tcBorders>
            <w:shd w:val="clear" w:color="auto" w:fill="auto"/>
            <w:vAlign w:val="center"/>
            <w:hideMark/>
          </w:tcPr>
          <w:p w:rsidR="00352124" w:rsidRPr="00BD4B00" w:rsidRDefault="00352124" w:rsidP="00BD4B00">
            <w:pPr>
              <w:widowControl/>
              <w:autoSpaceDE/>
              <w:autoSpaceDN/>
              <w:adjustRightInd/>
              <w:spacing w:line="360" w:lineRule="auto"/>
              <w:jc w:val="center"/>
              <w:rPr>
                <w:rFonts w:asciiTheme="majorBidi" w:hAnsiTheme="majorBidi" w:cstheme="majorBidi"/>
                <w:color w:val="000000"/>
                <w:sz w:val="16"/>
                <w:szCs w:val="16"/>
              </w:rPr>
            </w:pPr>
            <w:r w:rsidRPr="00BD4B00">
              <w:rPr>
                <w:rFonts w:asciiTheme="majorBidi" w:hAnsiTheme="majorBidi" w:cstheme="majorBidi"/>
                <w:color w:val="000000"/>
                <w:sz w:val="16"/>
                <w:szCs w:val="16"/>
              </w:rPr>
              <w:t>15,9</w:t>
            </w:r>
          </w:p>
        </w:tc>
        <w:tc>
          <w:tcPr>
            <w:tcW w:w="0" w:type="auto"/>
            <w:tcBorders>
              <w:top w:val="nil"/>
              <w:left w:val="nil"/>
              <w:bottom w:val="single" w:sz="4" w:space="0" w:color="auto"/>
              <w:right w:val="single" w:sz="4" w:space="0" w:color="auto"/>
            </w:tcBorders>
            <w:shd w:val="clear" w:color="auto" w:fill="auto"/>
            <w:vAlign w:val="center"/>
            <w:hideMark/>
          </w:tcPr>
          <w:p w:rsidR="00352124" w:rsidRPr="00BD4B00" w:rsidRDefault="00352124" w:rsidP="00BD4B00">
            <w:pPr>
              <w:widowControl/>
              <w:autoSpaceDE/>
              <w:autoSpaceDN/>
              <w:adjustRightInd/>
              <w:spacing w:line="360" w:lineRule="auto"/>
              <w:jc w:val="center"/>
              <w:rPr>
                <w:rFonts w:asciiTheme="majorBidi" w:hAnsiTheme="majorBidi" w:cstheme="majorBidi"/>
                <w:color w:val="000000"/>
                <w:sz w:val="16"/>
                <w:szCs w:val="16"/>
              </w:rPr>
            </w:pPr>
            <w:r w:rsidRPr="00BD4B00">
              <w:rPr>
                <w:rFonts w:asciiTheme="majorBidi" w:hAnsiTheme="majorBidi" w:cstheme="majorBidi"/>
                <w:color w:val="000000"/>
                <w:sz w:val="16"/>
                <w:szCs w:val="16"/>
              </w:rPr>
              <w:t>12,8</w:t>
            </w:r>
          </w:p>
        </w:tc>
        <w:tc>
          <w:tcPr>
            <w:tcW w:w="0" w:type="auto"/>
            <w:tcBorders>
              <w:top w:val="nil"/>
              <w:left w:val="nil"/>
              <w:bottom w:val="single" w:sz="4" w:space="0" w:color="auto"/>
              <w:right w:val="single" w:sz="4" w:space="0" w:color="auto"/>
            </w:tcBorders>
            <w:shd w:val="clear" w:color="auto" w:fill="auto"/>
            <w:vAlign w:val="center"/>
            <w:hideMark/>
          </w:tcPr>
          <w:p w:rsidR="00352124" w:rsidRPr="00BD4B00" w:rsidRDefault="00352124" w:rsidP="00BD4B00">
            <w:pPr>
              <w:widowControl/>
              <w:autoSpaceDE/>
              <w:autoSpaceDN/>
              <w:adjustRightInd/>
              <w:spacing w:line="360" w:lineRule="auto"/>
              <w:jc w:val="center"/>
              <w:rPr>
                <w:rFonts w:asciiTheme="majorBidi" w:hAnsiTheme="majorBidi" w:cstheme="majorBidi"/>
                <w:color w:val="000000"/>
                <w:sz w:val="16"/>
                <w:szCs w:val="16"/>
              </w:rPr>
            </w:pPr>
            <w:r w:rsidRPr="00BD4B00">
              <w:rPr>
                <w:rFonts w:asciiTheme="majorBidi" w:hAnsiTheme="majorBidi" w:cstheme="majorBidi"/>
                <w:color w:val="000000"/>
                <w:sz w:val="16"/>
                <w:szCs w:val="16"/>
              </w:rPr>
              <w:t>18,3</w:t>
            </w:r>
          </w:p>
        </w:tc>
        <w:tc>
          <w:tcPr>
            <w:tcW w:w="0" w:type="auto"/>
            <w:tcBorders>
              <w:top w:val="nil"/>
              <w:left w:val="nil"/>
              <w:bottom w:val="single" w:sz="4" w:space="0" w:color="auto"/>
              <w:right w:val="single" w:sz="4" w:space="0" w:color="auto"/>
            </w:tcBorders>
            <w:shd w:val="clear" w:color="auto" w:fill="auto"/>
            <w:vAlign w:val="center"/>
            <w:hideMark/>
          </w:tcPr>
          <w:p w:rsidR="00352124" w:rsidRPr="00BD4B00" w:rsidRDefault="00352124" w:rsidP="00BD4B00">
            <w:pPr>
              <w:widowControl/>
              <w:autoSpaceDE/>
              <w:autoSpaceDN/>
              <w:adjustRightInd/>
              <w:spacing w:line="360" w:lineRule="auto"/>
              <w:jc w:val="center"/>
              <w:rPr>
                <w:rFonts w:asciiTheme="majorBidi" w:hAnsiTheme="majorBidi" w:cstheme="majorBidi"/>
                <w:color w:val="000000"/>
                <w:sz w:val="16"/>
                <w:szCs w:val="16"/>
              </w:rPr>
            </w:pPr>
            <w:r w:rsidRPr="00BD4B00">
              <w:rPr>
                <w:rFonts w:asciiTheme="majorBidi" w:hAnsiTheme="majorBidi" w:cstheme="majorBidi"/>
                <w:color w:val="000000"/>
                <w:sz w:val="16"/>
                <w:szCs w:val="16"/>
              </w:rPr>
              <w:t>20,7</w:t>
            </w:r>
          </w:p>
        </w:tc>
        <w:tc>
          <w:tcPr>
            <w:tcW w:w="0" w:type="auto"/>
            <w:tcBorders>
              <w:top w:val="nil"/>
              <w:left w:val="nil"/>
              <w:bottom w:val="single" w:sz="4" w:space="0" w:color="auto"/>
              <w:right w:val="single" w:sz="4" w:space="0" w:color="auto"/>
            </w:tcBorders>
            <w:shd w:val="clear" w:color="auto" w:fill="auto"/>
            <w:vAlign w:val="center"/>
            <w:hideMark/>
          </w:tcPr>
          <w:p w:rsidR="00352124" w:rsidRPr="00BD4B00" w:rsidRDefault="00352124" w:rsidP="00BD4B00">
            <w:pPr>
              <w:widowControl/>
              <w:autoSpaceDE/>
              <w:autoSpaceDN/>
              <w:adjustRightInd/>
              <w:spacing w:line="360" w:lineRule="auto"/>
              <w:jc w:val="center"/>
              <w:rPr>
                <w:rFonts w:asciiTheme="majorBidi" w:hAnsiTheme="majorBidi" w:cstheme="majorBidi"/>
                <w:color w:val="000000"/>
                <w:sz w:val="16"/>
                <w:szCs w:val="16"/>
              </w:rPr>
            </w:pPr>
            <w:r w:rsidRPr="00BD4B00">
              <w:rPr>
                <w:rFonts w:asciiTheme="majorBidi" w:hAnsiTheme="majorBidi" w:cstheme="majorBidi"/>
                <w:color w:val="000000"/>
                <w:sz w:val="16"/>
                <w:szCs w:val="16"/>
              </w:rPr>
              <w:t>19,1</w:t>
            </w:r>
          </w:p>
        </w:tc>
        <w:tc>
          <w:tcPr>
            <w:tcW w:w="0" w:type="auto"/>
            <w:tcBorders>
              <w:top w:val="nil"/>
              <w:left w:val="nil"/>
              <w:bottom w:val="single" w:sz="4" w:space="0" w:color="auto"/>
              <w:right w:val="single" w:sz="4" w:space="0" w:color="auto"/>
            </w:tcBorders>
            <w:shd w:val="clear" w:color="auto" w:fill="auto"/>
            <w:vAlign w:val="center"/>
            <w:hideMark/>
          </w:tcPr>
          <w:p w:rsidR="00352124" w:rsidRPr="00BD4B00" w:rsidRDefault="00352124" w:rsidP="00BD4B00">
            <w:pPr>
              <w:widowControl/>
              <w:autoSpaceDE/>
              <w:autoSpaceDN/>
              <w:adjustRightInd/>
              <w:spacing w:line="360" w:lineRule="auto"/>
              <w:jc w:val="center"/>
              <w:rPr>
                <w:rFonts w:asciiTheme="majorBidi" w:hAnsiTheme="majorBidi" w:cstheme="majorBidi"/>
                <w:color w:val="000000"/>
                <w:sz w:val="16"/>
                <w:szCs w:val="16"/>
              </w:rPr>
            </w:pPr>
            <w:r w:rsidRPr="00BD4B00">
              <w:rPr>
                <w:rFonts w:asciiTheme="majorBidi" w:hAnsiTheme="majorBidi" w:cstheme="majorBidi"/>
                <w:color w:val="000000"/>
                <w:sz w:val="16"/>
                <w:szCs w:val="16"/>
              </w:rPr>
              <w:t>18,2</w:t>
            </w:r>
          </w:p>
        </w:tc>
        <w:tc>
          <w:tcPr>
            <w:tcW w:w="0" w:type="auto"/>
            <w:tcBorders>
              <w:top w:val="nil"/>
              <w:left w:val="nil"/>
              <w:bottom w:val="single" w:sz="4" w:space="0" w:color="auto"/>
              <w:right w:val="single" w:sz="4" w:space="0" w:color="auto"/>
            </w:tcBorders>
            <w:shd w:val="clear" w:color="auto" w:fill="auto"/>
            <w:vAlign w:val="center"/>
            <w:hideMark/>
          </w:tcPr>
          <w:p w:rsidR="00352124" w:rsidRPr="00BD4B00" w:rsidRDefault="00352124" w:rsidP="00BD4B00">
            <w:pPr>
              <w:widowControl/>
              <w:autoSpaceDE/>
              <w:autoSpaceDN/>
              <w:adjustRightInd/>
              <w:spacing w:line="360" w:lineRule="auto"/>
              <w:jc w:val="center"/>
              <w:rPr>
                <w:rFonts w:asciiTheme="majorBidi" w:hAnsiTheme="majorBidi" w:cstheme="majorBidi"/>
                <w:color w:val="000000"/>
                <w:sz w:val="16"/>
                <w:szCs w:val="16"/>
              </w:rPr>
            </w:pPr>
            <w:r w:rsidRPr="00BD4B00">
              <w:rPr>
                <w:rFonts w:asciiTheme="majorBidi" w:hAnsiTheme="majorBidi" w:cstheme="majorBidi"/>
                <w:color w:val="000000"/>
                <w:sz w:val="16"/>
                <w:szCs w:val="16"/>
              </w:rPr>
              <w:t>28,1</w:t>
            </w:r>
          </w:p>
        </w:tc>
        <w:tc>
          <w:tcPr>
            <w:tcW w:w="0" w:type="auto"/>
            <w:tcBorders>
              <w:top w:val="nil"/>
              <w:left w:val="nil"/>
              <w:bottom w:val="single" w:sz="4" w:space="0" w:color="auto"/>
              <w:right w:val="single" w:sz="4" w:space="0" w:color="auto"/>
            </w:tcBorders>
            <w:shd w:val="clear" w:color="auto" w:fill="auto"/>
            <w:vAlign w:val="center"/>
            <w:hideMark/>
          </w:tcPr>
          <w:p w:rsidR="00352124" w:rsidRPr="00BD4B00" w:rsidRDefault="00352124" w:rsidP="00BD4B00">
            <w:pPr>
              <w:widowControl/>
              <w:autoSpaceDE/>
              <w:autoSpaceDN/>
              <w:adjustRightInd/>
              <w:spacing w:line="360" w:lineRule="auto"/>
              <w:jc w:val="center"/>
              <w:rPr>
                <w:rFonts w:asciiTheme="majorBidi" w:hAnsiTheme="majorBidi" w:cstheme="majorBidi"/>
                <w:color w:val="000000"/>
                <w:sz w:val="16"/>
                <w:szCs w:val="16"/>
              </w:rPr>
            </w:pPr>
            <w:r w:rsidRPr="00BD4B00">
              <w:rPr>
                <w:rFonts w:asciiTheme="majorBidi" w:hAnsiTheme="majorBidi" w:cstheme="majorBidi"/>
                <w:color w:val="000000"/>
                <w:sz w:val="16"/>
                <w:szCs w:val="16"/>
              </w:rPr>
              <w:t>25,9</w:t>
            </w:r>
          </w:p>
        </w:tc>
        <w:tc>
          <w:tcPr>
            <w:tcW w:w="0" w:type="auto"/>
            <w:tcBorders>
              <w:top w:val="nil"/>
              <w:left w:val="nil"/>
              <w:bottom w:val="single" w:sz="4" w:space="0" w:color="auto"/>
              <w:right w:val="single" w:sz="4" w:space="0" w:color="auto"/>
            </w:tcBorders>
            <w:shd w:val="clear" w:color="auto" w:fill="auto"/>
            <w:vAlign w:val="center"/>
            <w:hideMark/>
          </w:tcPr>
          <w:p w:rsidR="00352124" w:rsidRPr="00BD4B00" w:rsidRDefault="00352124" w:rsidP="00BD4B00">
            <w:pPr>
              <w:widowControl/>
              <w:autoSpaceDE/>
              <w:autoSpaceDN/>
              <w:adjustRightInd/>
              <w:spacing w:line="360" w:lineRule="auto"/>
              <w:jc w:val="center"/>
              <w:rPr>
                <w:rFonts w:asciiTheme="majorBidi" w:hAnsiTheme="majorBidi" w:cstheme="majorBidi"/>
                <w:color w:val="000000"/>
                <w:sz w:val="16"/>
                <w:szCs w:val="16"/>
              </w:rPr>
            </w:pPr>
            <w:r w:rsidRPr="00BD4B00">
              <w:rPr>
                <w:rFonts w:asciiTheme="majorBidi" w:hAnsiTheme="majorBidi" w:cstheme="majorBidi"/>
                <w:color w:val="000000"/>
                <w:sz w:val="16"/>
                <w:szCs w:val="16"/>
              </w:rPr>
              <w:t>19,2</w:t>
            </w:r>
          </w:p>
        </w:tc>
        <w:tc>
          <w:tcPr>
            <w:tcW w:w="0" w:type="auto"/>
            <w:tcBorders>
              <w:top w:val="nil"/>
              <w:left w:val="nil"/>
              <w:bottom w:val="single" w:sz="4" w:space="0" w:color="auto"/>
              <w:right w:val="single" w:sz="4" w:space="0" w:color="auto"/>
            </w:tcBorders>
            <w:shd w:val="clear" w:color="auto" w:fill="auto"/>
            <w:vAlign w:val="center"/>
            <w:hideMark/>
          </w:tcPr>
          <w:p w:rsidR="00352124" w:rsidRPr="00BD4B00" w:rsidRDefault="00352124" w:rsidP="00BD4B00">
            <w:pPr>
              <w:widowControl/>
              <w:autoSpaceDE/>
              <w:autoSpaceDN/>
              <w:adjustRightInd/>
              <w:spacing w:line="360" w:lineRule="auto"/>
              <w:jc w:val="center"/>
              <w:rPr>
                <w:rFonts w:asciiTheme="majorBidi" w:hAnsiTheme="majorBidi" w:cstheme="majorBidi"/>
                <w:color w:val="000000"/>
                <w:sz w:val="16"/>
                <w:szCs w:val="16"/>
              </w:rPr>
            </w:pPr>
            <w:r w:rsidRPr="00BD4B00">
              <w:rPr>
                <w:rFonts w:asciiTheme="majorBidi" w:hAnsiTheme="majorBidi" w:cstheme="majorBidi"/>
                <w:color w:val="000000"/>
                <w:sz w:val="16"/>
                <w:szCs w:val="16"/>
              </w:rPr>
              <w:t>19,6</w:t>
            </w:r>
          </w:p>
        </w:tc>
        <w:tc>
          <w:tcPr>
            <w:tcW w:w="0" w:type="auto"/>
            <w:tcBorders>
              <w:top w:val="nil"/>
              <w:left w:val="nil"/>
              <w:bottom w:val="single" w:sz="4" w:space="0" w:color="auto"/>
              <w:right w:val="single" w:sz="4" w:space="0" w:color="auto"/>
            </w:tcBorders>
            <w:shd w:val="clear" w:color="auto" w:fill="auto"/>
            <w:vAlign w:val="center"/>
            <w:hideMark/>
          </w:tcPr>
          <w:p w:rsidR="00352124" w:rsidRPr="00BD4B00" w:rsidRDefault="00352124" w:rsidP="00BD4B00">
            <w:pPr>
              <w:widowControl/>
              <w:autoSpaceDE/>
              <w:autoSpaceDN/>
              <w:adjustRightInd/>
              <w:spacing w:line="360" w:lineRule="auto"/>
              <w:jc w:val="center"/>
              <w:rPr>
                <w:rFonts w:asciiTheme="majorBidi" w:hAnsiTheme="majorBidi" w:cstheme="majorBidi"/>
                <w:color w:val="000000"/>
                <w:sz w:val="16"/>
                <w:szCs w:val="16"/>
              </w:rPr>
            </w:pPr>
            <w:r w:rsidRPr="00BD4B00">
              <w:rPr>
                <w:rFonts w:asciiTheme="majorBidi" w:hAnsiTheme="majorBidi" w:cstheme="majorBidi"/>
                <w:color w:val="000000"/>
                <w:sz w:val="16"/>
                <w:szCs w:val="16"/>
              </w:rPr>
              <w:t>22,1</w:t>
            </w:r>
          </w:p>
        </w:tc>
        <w:tc>
          <w:tcPr>
            <w:tcW w:w="0" w:type="auto"/>
            <w:tcBorders>
              <w:top w:val="nil"/>
              <w:left w:val="nil"/>
              <w:bottom w:val="single" w:sz="4" w:space="0" w:color="auto"/>
              <w:right w:val="single" w:sz="4" w:space="0" w:color="auto"/>
            </w:tcBorders>
            <w:shd w:val="clear" w:color="auto" w:fill="auto"/>
            <w:vAlign w:val="center"/>
            <w:hideMark/>
          </w:tcPr>
          <w:p w:rsidR="00352124" w:rsidRPr="00BD4B00" w:rsidRDefault="00352124" w:rsidP="00BD4B00">
            <w:pPr>
              <w:widowControl/>
              <w:autoSpaceDE/>
              <w:autoSpaceDN/>
              <w:adjustRightInd/>
              <w:spacing w:line="360" w:lineRule="auto"/>
              <w:jc w:val="center"/>
              <w:rPr>
                <w:rFonts w:asciiTheme="majorBidi" w:hAnsiTheme="majorBidi" w:cstheme="majorBidi"/>
                <w:color w:val="000000"/>
                <w:sz w:val="16"/>
                <w:szCs w:val="16"/>
              </w:rPr>
            </w:pPr>
            <w:r w:rsidRPr="00BD4B00">
              <w:rPr>
                <w:rFonts w:asciiTheme="majorBidi" w:hAnsiTheme="majorBidi" w:cstheme="majorBidi"/>
                <w:color w:val="000000"/>
                <w:sz w:val="16"/>
                <w:szCs w:val="16"/>
              </w:rPr>
              <w:t>13,4</w:t>
            </w:r>
          </w:p>
        </w:tc>
        <w:tc>
          <w:tcPr>
            <w:tcW w:w="0" w:type="auto"/>
            <w:tcBorders>
              <w:top w:val="nil"/>
              <w:left w:val="nil"/>
              <w:bottom w:val="single" w:sz="4" w:space="0" w:color="auto"/>
              <w:right w:val="single" w:sz="4" w:space="0" w:color="auto"/>
            </w:tcBorders>
            <w:shd w:val="clear" w:color="auto" w:fill="auto"/>
            <w:vAlign w:val="center"/>
            <w:hideMark/>
          </w:tcPr>
          <w:p w:rsidR="00352124" w:rsidRPr="00BD4B00" w:rsidRDefault="00352124" w:rsidP="00BD4B00">
            <w:pPr>
              <w:widowControl/>
              <w:autoSpaceDE/>
              <w:autoSpaceDN/>
              <w:adjustRightInd/>
              <w:spacing w:line="360" w:lineRule="auto"/>
              <w:jc w:val="center"/>
              <w:rPr>
                <w:rFonts w:asciiTheme="majorBidi" w:hAnsiTheme="majorBidi" w:cstheme="majorBidi"/>
                <w:color w:val="000000"/>
                <w:sz w:val="16"/>
                <w:szCs w:val="16"/>
              </w:rPr>
            </w:pPr>
            <w:r w:rsidRPr="00BD4B00">
              <w:rPr>
                <w:rFonts w:asciiTheme="majorBidi" w:hAnsiTheme="majorBidi" w:cstheme="majorBidi"/>
                <w:color w:val="000000"/>
                <w:sz w:val="16"/>
                <w:szCs w:val="16"/>
              </w:rPr>
              <w:t>6,5</w:t>
            </w:r>
          </w:p>
        </w:tc>
        <w:tc>
          <w:tcPr>
            <w:tcW w:w="0" w:type="auto"/>
            <w:tcBorders>
              <w:top w:val="nil"/>
              <w:left w:val="nil"/>
              <w:bottom w:val="single" w:sz="4" w:space="0" w:color="auto"/>
              <w:right w:val="single" w:sz="4" w:space="0" w:color="auto"/>
            </w:tcBorders>
            <w:shd w:val="clear" w:color="auto" w:fill="auto"/>
            <w:vAlign w:val="center"/>
            <w:hideMark/>
          </w:tcPr>
          <w:p w:rsidR="00352124" w:rsidRPr="00BD4B00" w:rsidRDefault="00352124" w:rsidP="00BD4B00">
            <w:pPr>
              <w:widowControl/>
              <w:autoSpaceDE/>
              <w:autoSpaceDN/>
              <w:adjustRightInd/>
              <w:spacing w:line="360" w:lineRule="auto"/>
              <w:jc w:val="center"/>
              <w:rPr>
                <w:rFonts w:asciiTheme="majorBidi" w:hAnsiTheme="majorBidi" w:cstheme="majorBidi"/>
                <w:color w:val="000000"/>
                <w:sz w:val="16"/>
                <w:szCs w:val="16"/>
              </w:rPr>
            </w:pPr>
            <w:r w:rsidRPr="00BD4B00">
              <w:rPr>
                <w:rFonts w:asciiTheme="majorBidi" w:hAnsiTheme="majorBidi" w:cstheme="majorBidi"/>
                <w:color w:val="000000"/>
                <w:sz w:val="16"/>
                <w:szCs w:val="16"/>
              </w:rPr>
              <w:t>5</w:t>
            </w:r>
          </w:p>
        </w:tc>
        <w:tc>
          <w:tcPr>
            <w:tcW w:w="0" w:type="auto"/>
            <w:tcBorders>
              <w:top w:val="nil"/>
              <w:left w:val="nil"/>
              <w:bottom w:val="single" w:sz="4" w:space="0" w:color="auto"/>
              <w:right w:val="single" w:sz="4" w:space="0" w:color="auto"/>
            </w:tcBorders>
            <w:shd w:val="clear" w:color="auto" w:fill="auto"/>
            <w:vAlign w:val="center"/>
            <w:hideMark/>
          </w:tcPr>
          <w:p w:rsidR="00352124" w:rsidRPr="00BD4B00" w:rsidRDefault="00352124" w:rsidP="00BD4B00">
            <w:pPr>
              <w:widowControl/>
              <w:autoSpaceDE/>
              <w:autoSpaceDN/>
              <w:adjustRightInd/>
              <w:spacing w:line="360" w:lineRule="auto"/>
              <w:jc w:val="center"/>
              <w:rPr>
                <w:rFonts w:asciiTheme="majorBidi" w:hAnsiTheme="majorBidi" w:cstheme="majorBidi"/>
                <w:color w:val="000000"/>
                <w:sz w:val="16"/>
                <w:szCs w:val="16"/>
              </w:rPr>
            </w:pPr>
            <w:r w:rsidRPr="00BD4B00">
              <w:rPr>
                <w:rFonts w:asciiTheme="majorBidi" w:hAnsiTheme="majorBidi" w:cstheme="majorBidi"/>
                <w:color w:val="000000"/>
                <w:sz w:val="16"/>
                <w:szCs w:val="16"/>
              </w:rPr>
              <w:t>2,3</w:t>
            </w:r>
          </w:p>
        </w:tc>
        <w:tc>
          <w:tcPr>
            <w:tcW w:w="0" w:type="auto"/>
            <w:tcBorders>
              <w:top w:val="nil"/>
              <w:left w:val="nil"/>
              <w:bottom w:val="single" w:sz="4" w:space="0" w:color="auto"/>
              <w:right w:val="single" w:sz="4" w:space="0" w:color="auto"/>
            </w:tcBorders>
            <w:shd w:val="clear" w:color="auto" w:fill="auto"/>
            <w:vAlign w:val="center"/>
            <w:hideMark/>
          </w:tcPr>
          <w:p w:rsidR="00352124" w:rsidRPr="00BD4B00" w:rsidRDefault="00352124" w:rsidP="00BD4B00">
            <w:pPr>
              <w:widowControl/>
              <w:autoSpaceDE/>
              <w:autoSpaceDN/>
              <w:adjustRightInd/>
              <w:spacing w:line="360" w:lineRule="auto"/>
              <w:jc w:val="center"/>
              <w:rPr>
                <w:rFonts w:asciiTheme="majorBidi" w:hAnsiTheme="majorBidi" w:cstheme="majorBidi"/>
                <w:color w:val="000000"/>
                <w:sz w:val="16"/>
                <w:szCs w:val="16"/>
              </w:rPr>
            </w:pPr>
            <w:r w:rsidRPr="00BD4B00">
              <w:rPr>
                <w:rFonts w:asciiTheme="majorBidi" w:hAnsiTheme="majorBidi" w:cstheme="majorBidi"/>
                <w:color w:val="000000"/>
                <w:sz w:val="16"/>
                <w:szCs w:val="16"/>
              </w:rPr>
              <w:t>1,2</w:t>
            </w:r>
          </w:p>
        </w:tc>
        <w:tc>
          <w:tcPr>
            <w:tcW w:w="0" w:type="auto"/>
            <w:tcBorders>
              <w:top w:val="nil"/>
              <w:left w:val="nil"/>
              <w:bottom w:val="single" w:sz="4" w:space="0" w:color="auto"/>
              <w:right w:val="single" w:sz="4" w:space="0" w:color="auto"/>
            </w:tcBorders>
            <w:shd w:val="clear" w:color="auto" w:fill="auto"/>
            <w:vAlign w:val="center"/>
            <w:hideMark/>
          </w:tcPr>
          <w:p w:rsidR="00352124" w:rsidRPr="00BD4B00" w:rsidRDefault="00352124" w:rsidP="00BD4B00">
            <w:pPr>
              <w:widowControl/>
              <w:autoSpaceDE/>
              <w:autoSpaceDN/>
              <w:bidi/>
              <w:adjustRightInd/>
              <w:spacing w:line="360" w:lineRule="auto"/>
              <w:rPr>
                <w:rFonts w:asciiTheme="majorBidi" w:hAnsiTheme="majorBidi" w:cstheme="majorBidi"/>
                <w:b/>
                <w:bCs/>
                <w:color w:val="000000"/>
                <w:sz w:val="16"/>
                <w:szCs w:val="16"/>
              </w:rPr>
            </w:pPr>
            <w:r w:rsidRPr="00BD4B00">
              <w:rPr>
                <w:rFonts w:asciiTheme="majorBidi" w:hAnsiTheme="majorBidi" w:cstheme="majorBidi"/>
                <w:b/>
                <w:bCs/>
                <w:color w:val="000000"/>
                <w:sz w:val="16"/>
                <w:szCs w:val="16"/>
                <w:rtl/>
              </w:rPr>
              <w:t>التطور المرتقب للوضعية المالية للأسرة</w:t>
            </w:r>
          </w:p>
        </w:tc>
      </w:tr>
      <w:tr w:rsidR="00352124" w:rsidRPr="00BD4B00" w:rsidTr="00BD4B00">
        <w:trPr>
          <w:trHeight w:val="349"/>
        </w:trPr>
        <w:tc>
          <w:tcPr>
            <w:tcW w:w="16004" w:type="dxa"/>
            <w:gridSpan w:val="29"/>
            <w:tcBorders>
              <w:top w:val="single" w:sz="4" w:space="0" w:color="auto"/>
              <w:left w:val="single" w:sz="4" w:space="0" w:color="auto"/>
              <w:bottom w:val="single" w:sz="4" w:space="0" w:color="auto"/>
              <w:right w:val="single" w:sz="4" w:space="0" w:color="auto"/>
            </w:tcBorders>
            <w:shd w:val="clear" w:color="auto" w:fill="auto"/>
            <w:vAlign w:val="center"/>
            <w:hideMark/>
          </w:tcPr>
          <w:p w:rsidR="00352124" w:rsidRPr="00BD4B00" w:rsidRDefault="00352124" w:rsidP="00BD4B00">
            <w:pPr>
              <w:widowControl/>
              <w:autoSpaceDE/>
              <w:autoSpaceDN/>
              <w:bidi/>
              <w:adjustRightInd/>
              <w:spacing w:line="360" w:lineRule="auto"/>
              <w:jc w:val="center"/>
              <w:rPr>
                <w:rFonts w:asciiTheme="majorBidi" w:hAnsiTheme="majorBidi" w:cstheme="majorBidi"/>
                <w:b/>
                <w:bCs/>
                <w:color w:val="000000"/>
                <w:sz w:val="16"/>
                <w:szCs w:val="16"/>
              </w:rPr>
            </w:pPr>
            <w:r w:rsidRPr="00BD4B00">
              <w:rPr>
                <w:rFonts w:asciiTheme="majorBidi" w:hAnsiTheme="majorBidi" w:cstheme="majorBidi"/>
                <w:b/>
                <w:bCs/>
                <w:color w:val="000000"/>
                <w:sz w:val="16"/>
                <w:szCs w:val="16"/>
                <w:rtl/>
              </w:rPr>
              <w:t>مؤشرات أخرى</w:t>
            </w:r>
          </w:p>
        </w:tc>
      </w:tr>
      <w:tr w:rsidR="00696211" w:rsidRPr="00BD4B00" w:rsidTr="00BD4B00">
        <w:trPr>
          <w:trHeight w:val="888"/>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352124" w:rsidRPr="00BD4B00" w:rsidRDefault="00352124" w:rsidP="00BD4B00">
            <w:pPr>
              <w:widowControl/>
              <w:autoSpaceDE/>
              <w:autoSpaceDN/>
              <w:adjustRightInd/>
              <w:spacing w:line="360" w:lineRule="auto"/>
              <w:jc w:val="center"/>
              <w:rPr>
                <w:rFonts w:asciiTheme="majorBidi" w:hAnsiTheme="majorBidi" w:cstheme="majorBidi"/>
                <w:color w:val="000000"/>
                <w:sz w:val="16"/>
                <w:szCs w:val="16"/>
              </w:rPr>
            </w:pPr>
            <w:r w:rsidRPr="00BD4B00">
              <w:rPr>
                <w:rFonts w:asciiTheme="majorBidi" w:hAnsiTheme="majorBidi" w:cstheme="majorBidi"/>
                <w:color w:val="000000"/>
                <w:sz w:val="16"/>
                <w:szCs w:val="16"/>
              </w:rPr>
              <w:t>-71,8</w:t>
            </w:r>
          </w:p>
        </w:tc>
        <w:tc>
          <w:tcPr>
            <w:tcW w:w="590" w:type="dxa"/>
            <w:tcBorders>
              <w:top w:val="nil"/>
              <w:left w:val="nil"/>
              <w:bottom w:val="single" w:sz="4" w:space="0" w:color="auto"/>
              <w:right w:val="single" w:sz="4" w:space="0" w:color="auto"/>
            </w:tcBorders>
            <w:shd w:val="clear" w:color="auto" w:fill="auto"/>
            <w:vAlign w:val="center"/>
            <w:hideMark/>
          </w:tcPr>
          <w:p w:rsidR="00352124" w:rsidRPr="00BD4B00" w:rsidRDefault="00352124" w:rsidP="00BD4B00">
            <w:pPr>
              <w:widowControl/>
              <w:autoSpaceDE/>
              <w:autoSpaceDN/>
              <w:adjustRightInd/>
              <w:spacing w:line="360" w:lineRule="auto"/>
              <w:jc w:val="center"/>
              <w:rPr>
                <w:rFonts w:asciiTheme="majorBidi" w:hAnsiTheme="majorBidi" w:cstheme="majorBidi"/>
                <w:color w:val="000000"/>
                <w:sz w:val="16"/>
                <w:szCs w:val="16"/>
              </w:rPr>
            </w:pPr>
            <w:r w:rsidRPr="00BD4B00">
              <w:rPr>
                <w:rFonts w:asciiTheme="majorBidi" w:hAnsiTheme="majorBidi" w:cstheme="majorBidi"/>
                <w:color w:val="000000"/>
                <w:sz w:val="16"/>
                <w:szCs w:val="16"/>
              </w:rPr>
              <w:t>-73,6</w:t>
            </w:r>
          </w:p>
        </w:tc>
        <w:tc>
          <w:tcPr>
            <w:tcW w:w="0" w:type="auto"/>
            <w:tcBorders>
              <w:top w:val="nil"/>
              <w:left w:val="nil"/>
              <w:bottom w:val="single" w:sz="4" w:space="0" w:color="auto"/>
              <w:right w:val="single" w:sz="4" w:space="0" w:color="auto"/>
            </w:tcBorders>
            <w:shd w:val="clear" w:color="auto" w:fill="auto"/>
            <w:vAlign w:val="center"/>
            <w:hideMark/>
          </w:tcPr>
          <w:p w:rsidR="00352124" w:rsidRPr="00BD4B00" w:rsidRDefault="00352124" w:rsidP="00BD4B00">
            <w:pPr>
              <w:widowControl/>
              <w:autoSpaceDE/>
              <w:autoSpaceDN/>
              <w:adjustRightInd/>
              <w:spacing w:line="360" w:lineRule="auto"/>
              <w:jc w:val="center"/>
              <w:rPr>
                <w:rFonts w:asciiTheme="majorBidi" w:hAnsiTheme="majorBidi" w:cstheme="majorBidi"/>
                <w:color w:val="000000"/>
                <w:sz w:val="16"/>
                <w:szCs w:val="16"/>
              </w:rPr>
            </w:pPr>
            <w:r w:rsidRPr="00BD4B00">
              <w:rPr>
                <w:rFonts w:asciiTheme="majorBidi" w:hAnsiTheme="majorBidi" w:cstheme="majorBidi"/>
                <w:color w:val="000000"/>
                <w:sz w:val="16"/>
                <w:szCs w:val="16"/>
              </w:rPr>
              <w:t>-74,3</w:t>
            </w:r>
          </w:p>
        </w:tc>
        <w:tc>
          <w:tcPr>
            <w:tcW w:w="0" w:type="auto"/>
            <w:tcBorders>
              <w:top w:val="nil"/>
              <w:left w:val="nil"/>
              <w:bottom w:val="single" w:sz="4" w:space="0" w:color="auto"/>
              <w:right w:val="single" w:sz="4" w:space="0" w:color="auto"/>
            </w:tcBorders>
            <w:shd w:val="clear" w:color="auto" w:fill="auto"/>
            <w:vAlign w:val="center"/>
            <w:hideMark/>
          </w:tcPr>
          <w:p w:rsidR="00352124" w:rsidRPr="00BD4B00" w:rsidRDefault="00352124" w:rsidP="00BD4B00">
            <w:pPr>
              <w:widowControl/>
              <w:autoSpaceDE/>
              <w:autoSpaceDN/>
              <w:adjustRightInd/>
              <w:spacing w:line="360" w:lineRule="auto"/>
              <w:jc w:val="center"/>
              <w:rPr>
                <w:rFonts w:asciiTheme="majorBidi" w:hAnsiTheme="majorBidi" w:cstheme="majorBidi"/>
                <w:color w:val="000000"/>
                <w:sz w:val="16"/>
                <w:szCs w:val="16"/>
              </w:rPr>
            </w:pPr>
            <w:r w:rsidRPr="00BD4B00">
              <w:rPr>
                <w:rFonts w:asciiTheme="majorBidi" w:hAnsiTheme="majorBidi" w:cstheme="majorBidi"/>
                <w:color w:val="000000"/>
                <w:sz w:val="16"/>
                <w:szCs w:val="16"/>
              </w:rPr>
              <w:t>-74,1</w:t>
            </w:r>
          </w:p>
        </w:tc>
        <w:tc>
          <w:tcPr>
            <w:tcW w:w="0" w:type="auto"/>
            <w:tcBorders>
              <w:top w:val="nil"/>
              <w:left w:val="nil"/>
              <w:bottom w:val="single" w:sz="4" w:space="0" w:color="auto"/>
              <w:right w:val="single" w:sz="4" w:space="0" w:color="auto"/>
            </w:tcBorders>
            <w:shd w:val="clear" w:color="auto" w:fill="auto"/>
            <w:vAlign w:val="center"/>
            <w:hideMark/>
          </w:tcPr>
          <w:p w:rsidR="00352124" w:rsidRPr="00BD4B00" w:rsidRDefault="00352124" w:rsidP="00BD4B00">
            <w:pPr>
              <w:widowControl/>
              <w:autoSpaceDE/>
              <w:autoSpaceDN/>
              <w:adjustRightInd/>
              <w:spacing w:line="360" w:lineRule="auto"/>
              <w:jc w:val="center"/>
              <w:rPr>
                <w:rFonts w:asciiTheme="majorBidi" w:hAnsiTheme="majorBidi" w:cstheme="majorBidi"/>
                <w:color w:val="000000"/>
                <w:sz w:val="16"/>
                <w:szCs w:val="16"/>
              </w:rPr>
            </w:pPr>
            <w:r w:rsidRPr="00BD4B00">
              <w:rPr>
                <w:rFonts w:asciiTheme="majorBidi" w:hAnsiTheme="majorBidi" w:cstheme="majorBidi"/>
                <w:color w:val="000000"/>
                <w:sz w:val="16"/>
                <w:szCs w:val="16"/>
              </w:rPr>
              <w:t>-76,3</w:t>
            </w:r>
          </w:p>
        </w:tc>
        <w:tc>
          <w:tcPr>
            <w:tcW w:w="0" w:type="auto"/>
            <w:tcBorders>
              <w:top w:val="nil"/>
              <w:left w:val="nil"/>
              <w:bottom w:val="single" w:sz="4" w:space="0" w:color="auto"/>
              <w:right w:val="single" w:sz="4" w:space="0" w:color="auto"/>
            </w:tcBorders>
            <w:shd w:val="clear" w:color="auto" w:fill="auto"/>
            <w:vAlign w:val="center"/>
            <w:hideMark/>
          </w:tcPr>
          <w:p w:rsidR="00352124" w:rsidRPr="00BD4B00" w:rsidRDefault="00352124" w:rsidP="00BD4B00">
            <w:pPr>
              <w:widowControl/>
              <w:autoSpaceDE/>
              <w:autoSpaceDN/>
              <w:adjustRightInd/>
              <w:spacing w:line="360" w:lineRule="auto"/>
              <w:jc w:val="center"/>
              <w:rPr>
                <w:rFonts w:asciiTheme="majorBidi" w:hAnsiTheme="majorBidi" w:cstheme="majorBidi"/>
                <w:color w:val="000000"/>
                <w:sz w:val="16"/>
                <w:szCs w:val="16"/>
              </w:rPr>
            </w:pPr>
            <w:r w:rsidRPr="00BD4B00">
              <w:rPr>
                <w:rFonts w:asciiTheme="majorBidi" w:hAnsiTheme="majorBidi" w:cstheme="majorBidi"/>
                <w:color w:val="000000"/>
                <w:sz w:val="16"/>
                <w:szCs w:val="16"/>
              </w:rPr>
              <w:t>-70,9</w:t>
            </w:r>
          </w:p>
        </w:tc>
        <w:tc>
          <w:tcPr>
            <w:tcW w:w="0" w:type="auto"/>
            <w:tcBorders>
              <w:top w:val="nil"/>
              <w:left w:val="nil"/>
              <w:bottom w:val="single" w:sz="4" w:space="0" w:color="auto"/>
              <w:right w:val="single" w:sz="4" w:space="0" w:color="auto"/>
            </w:tcBorders>
            <w:shd w:val="clear" w:color="auto" w:fill="auto"/>
            <w:vAlign w:val="center"/>
            <w:hideMark/>
          </w:tcPr>
          <w:p w:rsidR="00352124" w:rsidRPr="00BD4B00" w:rsidRDefault="00352124" w:rsidP="00BD4B00">
            <w:pPr>
              <w:widowControl/>
              <w:autoSpaceDE/>
              <w:autoSpaceDN/>
              <w:adjustRightInd/>
              <w:spacing w:line="360" w:lineRule="auto"/>
              <w:jc w:val="center"/>
              <w:rPr>
                <w:rFonts w:asciiTheme="majorBidi" w:hAnsiTheme="majorBidi" w:cstheme="majorBidi"/>
                <w:color w:val="000000"/>
                <w:sz w:val="16"/>
                <w:szCs w:val="16"/>
              </w:rPr>
            </w:pPr>
            <w:r w:rsidRPr="00BD4B00">
              <w:rPr>
                <w:rFonts w:asciiTheme="majorBidi" w:hAnsiTheme="majorBidi" w:cstheme="majorBidi"/>
                <w:color w:val="000000"/>
                <w:sz w:val="16"/>
                <w:szCs w:val="16"/>
              </w:rPr>
              <w:t>-67,6</w:t>
            </w:r>
          </w:p>
        </w:tc>
        <w:tc>
          <w:tcPr>
            <w:tcW w:w="0" w:type="auto"/>
            <w:tcBorders>
              <w:top w:val="nil"/>
              <w:left w:val="nil"/>
              <w:bottom w:val="single" w:sz="4" w:space="0" w:color="auto"/>
              <w:right w:val="single" w:sz="4" w:space="0" w:color="auto"/>
            </w:tcBorders>
            <w:shd w:val="clear" w:color="auto" w:fill="auto"/>
            <w:vAlign w:val="center"/>
            <w:hideMark/>
          </w:tcPr>
          <w:p w:rsidR="00352124" w:rsidRPr="00BD4B00" w:rsidRDefault="00352124" w:rsidP="00BD4B00">
            <w:pPr>
              <w:widowControl/>
              <w:autoSpaceDE/>
              <w:autoSpaceDN/>
              <w:adjustRightInd/>
              <w:spacing w:line="360" w:lineRule="auto"/>
              <w:jc w:val="center"/>
              <w:rPr>
                <w:rFonts w:asciiTheme="majorBidi" w:hAnsiTheme="majorBidi" w:cstheme="majorBidi"/>
                <w:color w:val="000000"/>
                <w:sz w:val="16"/>
                <w:szCs w:val="16"/>
              </w:rPr>
            </w:pPr>
            <w:r w:rsidRPr="00BD4B00">
              <w:rPr>
                <w:rFonts w:asciiTheme="majorBidi" w:hAnsiTheme="majorBidi" w:cstheme="majorBidi"/>
                <w:color w:val="000000"/>
                <w:sz w:val="16"/>
                <w:szCs w:val="16"/>
              </w:rPr>
              <w:t>-60,2</w:t>
            </w:r>
          </w:p>
        </w:tc>
        <w:tc>
          <w:tcPr>
            <w:tcW w:w="0" w:type="auto"/>
            <w:tcBorders>
              <w:top w:val="nil"/>
              <w:left w:val="nil"/>
              <w:bottom w:val="single" w:sz="4" w:space="0" w:color="auto"/>
              <w:right w:val="single" w:sz="4" w:space="0" w:color="auto"/>
            </w:tcBorders>
            <w:shd w:val="clear" w:color="auto" w:fill="auto"/>
            <w:vAlign w:val="center"/>
            <w:hideMark/>
          </w:tcPr>
          <w:p w:rsidR="00352124" w:rsidRPr="00BD4B00" w:rsidRDefault="00352124" w:rsidP="00BD4B00">
            <w:pPr>
              <w:widowControl/>
              <w:autoSpaceDE/>
              <w:autoSpaceDN/>
              <w:adjustRightInd/>
              <w:spacing w:line="360" w:lineRule="auto"/>
              <w:jc w:val="center"/>
              <w:rPr>
                <w:rFonts w:asciiTheme="majorBidi" w:hAnsiTheme="majorBidi" w:cstheme="majorBidi"/>
                <w:color w:val="000000"/>
                <w:sz w:val="16"/>
                <w:szCs w:val="16"/>
              </w:rPr>
            </w:pPr>
            <w:r w:rsidRPr="00BD4B00">
              <w:rPr>
                <w:rFonts w:asciiTheme="majorBidi" w:hAnsiTheme="majorBidi" w:cstheme="majorBidi"/>
                <w:color w:val="000000"/>
                <w:sz w:val="16"/>
                <w:szCs w:val="16"/>
              </w:rPr>
              <w:t>-64,6</w:t>
            </w:r>
          </w:p>
        </w:tc>
        <w:tc>
          <w:tcPr>
            <w:tcW w:w="0" w:type="auto"/>
            <w:tcBorders>
              <w:top w:val="nil"/>
              <w:left w:val="nil"/>
              <w:bottom w:val="single" w:sz="4" w:space="0" w:color="auto"/>
              <w:right w:val="single" w:sz="4" w:space="0" w:color="auto"/>
            </w:tcBorders>
            <w:shd w:val="clear" w:color="auto" w:fill="auto"/>
            <w:vAlign w:val="center"/>
            <w:hideMark/>
          </w:tcPr>
          <w:p w:rsidR="00352124" w:rsidRPr="00BD4B00" w:rsidRDefault="00352124" w:rsidP="00BD4B00">
            <w:pPr>
              <w:widowControl/>
              <w:autoSpaceDE/>
              <w:autoSpaceDN/>
              <w:adjustRightInd/>
              <w:spacing w:line="360" w:lineRule="auto"/>
              <w:jc w:val="center"/>
              <w:rPr>
                <w:rFonts w:asciiTheme="majorBidi" w:hAnsiTheme="majorBidi" w:cstheme="majorBidi"/>
                <w:color w:val="000000"/>
                <w:sz w:val="16"/>
                <w:szCs w:val="16"/>
              </w:rPr>
            </w:pPr>
            <w:r w:rsidRPr="00BD4B00">
              <w:rPr>
                <w:rFonts w:asciiTheme="majorBidi" w:hAnsiTheme="majorBidi" w:cstheme="majorBidi"/>
                <w:color w:val="000000"/>
                <w:sz w:val="16"/>
                <w:szCs w:val="16"/>
              </w:rPr>
              <w:t>-68,1</w:t>
            </w:r>
          </w:p>
        </w:tc>
        <w:tc>
          <w:tcPr>
            <w:tcW w:w="0" w:type="auto"/>
            <w:tcBorders>
              <w:top w:val="nil"/>
              <w:left w:val="nil"/>
              <w:bottom w:val="single" w:sz="4" w:space="0" w:color="auto"/>
              <w:right w:val="single" w:sz="4" w:space="0" w:color="auto"/>
            </w:tcBorders>
            <w:shd w:val="clear" w:color="auto" w:fill="auto"/>
            <w:vAlign w:val="center"/>
            <w:hideMark/>
          </w:tcPr>
          <w:p w:rsidR="00352124" w:rsidRPr="00BD4B00" w:rsidRDefault="00352124" w:rsidP="00BD4B00">
            <w:pPr>
              <w:widowControl/>
              <w:autoSpaceDE/>
              <w:autoSpaceDN/>
              <w:adjustRightInd/>
              <w:spacing w:line="360" w:lineRule="auto"/>
              <w:jc w:val="center"/>
              <w:rPr>
                <w:rFonts w:asciiTheme="majorBidi" w:hAnsiTheme="majorBidi" w:cstheme="majorBidi"/>
                <w:color w:val="000000"/>
                <w:sz w:val="16"/>
                <w:szCs w:val="16"/>
              </w:rPr>
            </w:pPr>
            <w:r w:rsidRPr="00BD4B00">
              <w:rPr>
                <w:rFonts w:asciiTheme="majorBidi" w:hAnsiTheme="majorBidi" w:cstheme="majorBidi"/>
                <w:color w:val="000000"/>
                <w:sz w:val="16"/>
                <w:szCs w:val="16"/>
              </w:rPr>
              <w:t>-69</w:t>
            </w:r>
          </w:p>
        </w:tc>
        <w:tc>
          <w:tcPr>
            <w:tcW w:w="0" w:type="auto"/>
            <w:tcBorders>
              <w:top w:val="nil"/>
              <w:left w:val="nil"/>
              <w:bottom w:val="single" w:sz="4" w:space="0" w:color="auto"/>
              <w:right w:val="single" w:sz="4" w:space="0" w:color="auto"/>
            </w:tcBorders>
            <w:shd w:val="clear" w:color="auto" w:fill="auto"/>
            <w:vAlign w:val="center"/>
            <w:hideMark/>
          </w:tcPr>
          <w:p w:rsidR="00352124" w:rsidRPr="00BD4B00" w:rsidRDefault="00352124" w:rsidP="00BD4B00">
            <w:pPr>
              <w:widowControl/>
              <w:autoSpaceDE/>
              <w:autoSpaceDN/>
              <w:adjustRightInd/>
              <w:spacing w:line="360" w:lineRule="auto"/>
              <w:jc w:val="center"/>
              <w:rPr>
                <w:rFonts w:asciiTheme="majorBidi" w:hAnsiTheme="majorBidi" w:cstheme="majorBidi"/>
                <w:color w:val="000000"/>
                <w:sz w:val="16"/>
                <w:szCs w:val="16"/>
              </w:rPr>
            </w:pPr>
            <w:r w:rsidRPr="00BD4B00">
              <w:rPr>
                <w:rFonts w:asciiTheme="majorBidi" w:hAnsiTheme="majorBidi" w:cstheme="majorBidi"/>
                <w:color w:val="000000"/>
                <w:sz w:val="16"/>
                <w:szCs w:val="16"/>
              </w:rPr>
              <w:t>-82,6</w:t>
            </w:r>
          </w:p>
        </w:tc>
        <w:tc>
          <w:tcPr>
            <w:tcW w:w="0" w:type="auto"/>
            <w:tcBorders>
              <w:top w:val="nil"/>
              <w:left w:val="nil"/>
              <w:bottom w:val="single" w:sz="4" w:space="0" w:color="auto"/>
              <w:right w:val="single" w:sz="4" w:space="0" w:color="auto"/>
            </w:tcBorders>
            <w:shd w:val="clear" w:color="auto" w:fill="auto"/>
            <w:vAlign w:val="center"/>
            <w:hideMark/>
          </w:tcPr>
          <w:p w:rsidR="00352124" w:rsidRPr="00BD4B00" w:rsidRDefault="00352124" w:rsidP="00BD4B00">
            <w:pPr>
              <w:widowControl/>
              <w:autoSpaceDE/>
              <w:autoSpaceDN/>
              <w:adjustRightInd/>
              <w:spacing w:line="360" w:lineRule="auto"/>
              <w:jc w:val="center"/>
              <w:rPr>
                <w:rFonts w:asciiTheme="majorBidi" w:hAnsiTheme="majorBidi" w:cstheme="majorBidi"/>
                <w:color w:val="000000"/>
                <w:sz w:val="16"/>
                <w:szCs w:val="16"/>
              </w:rPr>
            </w:pPr>
            <w:r w:rsidRPr="00BD4B00">
              <w:rPr>
                <w:rFonts w:asciiTheme="majorBidi" w:hAnsiTheme="majorBidi" w:cstheme="majorBidi"/>
                <w:color w:val="000000"/>
                <w:sz w:val="16"/>
                <w:szCs w:val="16"/>
              </w:rPr>
              <w:t>-82,2</w:t>
            </w:r>
          </w:p>
        </w:tc>
        <w:tc>
          <w:tcPr>
            <w:tcW w:w="0" w:type="auto"/>
            <w:tcBorders>
              <w:top w:val="nil"/>
              <w:left w:val="nil"/>
              <w:bottom w:val="single" w:sz="4" w:space="0" w:color="auto"/>
              <w:right w:val="single" w:sz="4" w:space="0" w:color="auto"/>
            </w:tcBorders>
            <w:shd w:val="clear" w:color="auto" w:fill="auto"/>
            <w:vAlign w:val="center"/>
            <w:hideMark/>
          </w:tcPr>
          <w:p w:rsidR="00352124" w:rsidRPr="00BD4B00" w:rsidRDefault="00352124" w:rsidP="00BD4B00">
            <w:pPr>
              <w:widowControl/>
              <w:autoSpaceDE/>
              <w:autoSpaceDN/>
              <w:adjustRightInd/>
              <w:spacing w:line="360" w:lineRule="auto"/>
              <w:jc w:val="center"/>
              <w:rPr>
                <w:rFonts w:asciiTheme="majorBidi" w:hAnsiTheme="majorBidi" w:cstheme="majorBidi"/>
                <w:color w:val="000000"/>
                <w:sz w:val="16"/>
                <w:szCs w:val="16"/>
              </w:rPr>
            </w:pPr>
            <w:r w:rsidRPr="00BD4B00">
              <w:rPr>
                <w:rFonts w:asciiTheme="majorBidi" w:hAnsiTheme="majorBidi" w:cstheme="majorBidi"/>
                <w:color w:val="000000"/>
                <w:sz w:val="16"/>
                <w:szCs w:val="16"/>
              </w:rPr>
              <w:t>-83,3</w:t>
            </w:r>
          </w:p>
        </w:tc>
        <w:tc>
          <w:tcPr>
            <w:tcW w:w="0" w:type="auto"/>
            <w:tcBorders>
              <w:top w:val="nil"/>
              <w:left w:val="nil"/>
              <w:bottom w:val="single" w:sz="4" w:space="0" w:color="auto"/>
              <w:right w:val="single" w:sz="4" w:space="0" w:color="auto"/>
            </w:tcBorders>
            <w:shd w:val="clear" w:color="auto" w:fill="auto"/>
            <w:vAlign w:val="center"/>
            <w:hideMark/>
          </w:tcPr>
          <w:p w:rsidR="00352124" w:rsidRPr="00BD4B00" w:rsidRDefault="00352124" w:rsidP="00BD4B00">
            <w:pPr>
              <w:widowControl/>
              <w:autoSpaceDE/>
              <w:autoSpaceDN/>
              <w:adjustRightInd/>
              <w:spacing w:line="360" w:lineRule="auto"/>
              <w:jc w:val="center"/>
              <w:rPr>
                <w:rFonts w:asciiTheme="majorBidi" w:hAnsiTheme="majorBidi" w:cstheme="majorBidi"/>
                <w:color w:val="000000"/>
                <w:sz w:val="16"/>
                <w:szCs w:val="16"/>
              </w:rPr>
            </w:pPr>
            <w:r w:rsidRPr="00BD4B00">
              <w:rPr>
                <w:rFonts w:asciiTheme="majorBidi" w:hAnsiTheme="majorBidi" w:cstheme="majorBidi"/>
                <w:color w:val="000000"/>
                <w:sz w:val="16"/>
                <w:szCs w:val="16"/>
              </w:rPr>
              <w:t>-86,5</w:t>
            </w:r>
          </w:p>
        </w:tc>
        <w:tc>
          <w:tcPr>
            <w:tcW w:w="0" w:type="auto"/>
            <w:tcBorders>
              <w:top w:val="nil"/>
              <w:left w:val="nil"/>
              <w:bottom w:val="single" w:sz="4" w:space="0" w:color="auto"/>
              <w:right w:val="single" w:sz="4" w:space="0" w:color="auto"/>
            </w:tcBorders>
            <w:shd w:val="clear" w:color="auto" w:fill="auto"/>
            <w:vAlign w:val="center"/>
            <w:hideMark/>
          </w:tcPr>
          <w:p w:rsidR="00352124" w:rsidRPr="00BD4B00" w:rsidRDefault="00352124" w:rsidP="00BD4B00">
            <w:pPr>
              <w:widowControl/>
              <w:autoSpaceDE/>
              <w:autoSpaceDN/>
              <w:adjustRightInd/>
              <w:spacing w:line="360" w:lineRule="auto"/>
              <w:jc w:val="center"/>
              <w:rPr>
                <w:rFonts w:asciiTheme="majorBidi" w:hAnsiTheme="majorBidi" w:cstheme="majorBidi"/>
                <w:color w:val="000000"/>
                <w:sz w:val="16"/>
                <w:szCs w:val="16"/>
              </w:rPr>
            </w:pPr>
            <w:r w:rsidRPr="00BD4B00">
              <w:rPr>
                <w:rFonts w:asciiTheme="majorBidi" w:hAnsiTheme="majorBidi" w:cstheme="majorBidi"/>
                <w:color w:val="000000"/>
                <w:sz w:val="16"/>
                <w:szCs w:val="16"/>
              </w:rPr>
              <w:t>-87,5</w:t>
            </w:r>
          </w:p>
        </w:tc>
        <w:tc>
          <w:tcPr>
            <w:tcW w:w="0" w:type="auto"/>
            <w:tcBorders>
              <w:top w:val="nil"/>
              <w:left w:val="nil"/>
              <w:bottom w:val="single" w:sz="4" w:space="0" w:color="auto"/>
              <w:right w:val="single" w:sz="4" w:space="0" w:color="auto"/>
            </w:tcBorders>
            <w:shd w:val="clear" w:color="auto" w:fill="auto"/>
            <w:vAlign w:val="center"/>
            <w:hideMark/>
          </w:tcPr>
          <w:p w:rsidR="00352124" w:rsidRPr="00BD4B00" w:rsidRDefault="00352124" w:rsidP="00BD4B00">
            <w:pPr>
              <w:widowControl/>
              <w:autoSpaceDE/>
              <w:autoSpaceDN/>
              <w:adjustRightInd/>
              <w:spacing w:line="360" w:lineRule="auto"/>
              <w:jc w:val="center"/>
              <w:rPr>
                <w:rFonts w:asciiTheme="majorBidi" w:hAnsiTheme="majorBidi" w:cstheme="majorBidi"/>
                <w:color w:val="000000"/>
                <w:sz w:val="16"/>
                <w:szCs w:val="16"/>
              </w:rPr>
            </w:pPr>
            <w:r w:rsidRPr="00BD4B00">
              <w:rPr>
                <w:rFonts w:asciiTheme="majorBidi" w:hAnsiTheme="majorBidi" w:cstheme="majorBidi"/>
                <w:color w:val="000000"/>
                <w:sz w:val="16"/>
                <w:szCs w:val="16"/>
              </w:rPr>
              <w:t>-86,6</w:t>
            </w:r>
          </w:p>
        </w:tc>
        <w:tc>
          <w:tcPr>
            <w:tcW w:w="0" w:type="auto"/>
            <w:tcBorders>
              <w:top w:val="nil"/>
              <w:left w:val="nil"/>
              <w:bottom w:val="single" w:sz="4" w:space="0" w:color="auto"/>
              <w:right w:val="single" w:sz="4" w:space="0" w:color="auto"/>
            </w:tcBorders>
            <w:shd w:val="clear" w:color="auto" w:fill="auto"/>
            <w:vAlign w:val="center"/>
            <w:hideMark/>
          </w:tcPr>
          <w:p w:rsidR="00352124" w:rsidRPr="00BD4B00" w:rsidRDefault="00352124" w:rsidP="00BD4B00">
            <w:pPr>
              <w:widowControl/>
              <w:autoSpaceDE/>
              <w:autoSpaceDN/>
              <w:adjustRightInd/>
              <w:spacing w:line="360" w:lineRule="auto"/>
              <w:jc w:val="center"/>
              <w:rPr>
                <w:rFonts w:asciiTheme="majorBidi" w:hAnsiTheme="majorBidi" w:cstheme="majorBidi"/>
                <w:color w:val="000000"/>
                <w:sz w:val="16"/>
                <w:szCs w:val="16"/>
              </w:rPr>
            </w:pPr>
            <w:r w:rsidRPr="00BD4B00">
              <w:rPr>
                <w:rFonts w:asciiTheme="majorBidi" w:hAnsiTheme="majorBidi" w:cstheme="majorBidi"/>
                <w:color w:val="000000"/>
                <w:sz w:val="16"/>
                <w:szCs w:val="16"/>
              </w:rPr>
              <w:t>-82,1</w:t>
            </w:r>
          </w:p>
        </w:tc>
        <w:tc>
          <w:tcPr>
            <w:tcW w:w="0" w:type="auto"/>
            <w:tcBorders>
              <w:top w:val="nil"/>
              <w:left w:val="nil"/>
              <w:bottom w:val="single" w:sz="4" w:space="0" w:color="auto"/>
              <w:right w:val="single" w:sz="4" w:space="0" w:color="auto"/>
            </w:tcBorders>
            <w:shd w:val="clear" w:color="auto" w:fill="auto"/>
            <w:vAlign w:val="center"/>
            <w:hideMark/>
          </w:tcPr>
          <w:p w:rsidR="00352124" w:rsidRPr="00BD4B00" w:rsidRDefault="00352124" w:rsidP="00BD4B00">
            <w:pPr>
              <w:widowControl/>
              <w:autoSpaceDE/>
              <w:autoSpaceDN/>
              <w:adjustRightInd/>
              <w:spacing w:line="360" w:lineRule="auto"/>
              <w:jc w:val="center"/>
              <w:rPr>
                <w:rFonts w:asciiTheme="majorBidi" w:hAnsiTheme="majorBidi" w:cstheme="majorBidi"/>
                <w:color w:val="000000"/>
                <w:sz w:val="16"/>
                <w:szCs w:val="16"/>
              </w:rPr>
            </w:pPr>
            <w:r w:rsidRPr="00BD4B00">
              <w:rPr>
                <w:rFonts w:asciiTheme="majorBidi" w:hAnsiTheme="majorBidi" w:cstheme="majorBidi"/>
                <w:color w:val="000000"/>
                <w:sz w:val="16"/>
                <w:szCs w:val="16"/>
              </w:rPr>
              <w:t>-84</w:t>
            </w:r>
          </w:p>
        </w:tc>
        <w:tc>
          <w:tcPr>
            <w:tcW w:w="0" w:type="auto"/>
            <w:tcBorders>
              <w:top w:val="nil"/>
              <w:left w:val="nil"/>
              <w:bottom w:val="single" w:sz="4" w:space="0" w:color="auto"/>
              <w:right w:val="single" w:sz="4" w:space="0" w:color="auto"/>
            </w:tcBorders>
            <w:shd w:val="clear" w:color="auto" w:fill="auto"/>
            <w:vAlign w:val="center"/>
            <w:hideMark/>
          </w:tcPr>
          <w:p w:rsidR="00352124" w:rsidRPr="00BD4B00" w:rsidRDefault="00352124" w:rsidP="00BD4B00">
            <w:pPr>
              <w:widowControl/>
              <w:autoSpaceDE/>
              <w:autoSpaceDN/>
              <w:adjustRightInd/>
              <w:spacing w:line="360" w:lineRule="auto"/>
              <w:jc w:val="center"/>
              <w:rPr>
                <w:rFonts w:asciiTheme="majorBidi" w:hAnsiTheme="majorBidi" w:cstheme="majorBidi"/>
                <w:color w:val="000000"/>
                <w:sz w:val="16"/>
                <w:szCs w:val="16"/>
              </w:rPr>
            </w:pPr>
            <w:r w:rsidRPr="00BD4B00">
              <w:rPr>
                <w:rFonts w:asciiTheme="majorBidi" w:hAnsiTheme="majorBidi" w:cstheme="majorBidi"/>
                <w:color w:val="000000"/>
                <w:sz w:val="16"/>
                <w:szCs w:val="16"/>
              </w:rPr>
              <w:t>-82,9</w:t>
            </w:r>
          </w:p>
        </w:tc>
        <w:tc>
          <w:tcPr>
            <w:tcW w:w="0" w:type="auto"/>
            <w:tcBorders>
              <w:top w:val="nil"/>
              <w:left w:val="nil"/>
              <w:bottom w:val="single" w:sz="4" w:space="0" w:color="auto"/>
              <w:right w:val="single" w:sz="4" w:space="0" w:color="auto"/>
            </w:tcBorders>
            <w:shd w:val="clear" w:color="auto" w:fill="auto"/>
            <w:vAlign w:val="center"/>
            <w:hideMark/>
          </w:tcPr>
          <w:p w:rsidR="00352124" w:rsidRPr="00BD4B00" w:rsidRDefault="00352124" w:rsidP="00BD4B00">
            <w:pPr>
              <w:widowControl/>
              <w:autoSpaceDE/>
              <w:autoSpaceDN/>
              <w:adjustRightInd/>
              <w:spacing w:line="360" w:lineRule="auto"/>
              <w:jc w:val="center"/>
              <w:rPr>
                <w:rFonts w:asciiTheme="majorBidi" w:hAnsiTheme="majorBidi" w:cstheme="majorBidi"/>
                <w:color w:val="000000"/>
                <w:sz w:val="16"/>
                <w:szCs w:val="16"/>
              </w:rPr>
            </w:pPr>
            <w:r w:rsidRPr="00BD4B00">
              <w:rPr>
                <w:rFonts w:asciiTheme="majorBidi" w:hAnsiTheme="majorBidi" w:cstheme="majorBidi"/>
                <w:color w:val="000000"/>
                <w:sz w:val="16"/>
                <w:szCs w:val="16"/>
              </w:rPr>
              <w:t>-79,6</w:t>
            </w:r>
          </w:p>
        </w:tc>
        <w:tc>
          <w:tcPr>
            <w:tcW w:w="0" w:type="auto"/>
            <w:tcBorders>
              <w:top w:val="nil"/>
              <w:left w:val="nil"/>
              <w:bottom w:val="single" w:sz="4" w:space="0" w:color="auto"/>
              <w:right w:val="single" w:sz="4" w:space="0" w:color="auto"/>
            </w:tcBorders>
            <w:shd w:val="clear" w:color="auto" w:fill="auto"/>
            <w:vAlign w:val="center"/>
            <w:hideMark/>
          </w:tcPr>
          <w:p w:rsidR="00352124" w:rsidRPr="00BD4B00" w:rsidRDefault="00352124" w:rsidP="00BD4B00">
            <w:pPr>
              <w:widowControl/>
              <w:autoSpaceDE/>
              <w:autoSpaceDN/>
              <w:adjustRightInd/>
              <w:spacing w:line="360" w:lineRule="auto"/>
              <w:jc w:val="center"/>
              <w:rPr>
                <w:rFonts w:asciiTheme="majorBidi" w:hAnsiTheme="majorBidi" w:cstheme="majorBidi"/>
                <w:color w:val="000000"/>
                <w:sz w:val="16"/>
                <w:szCs w:val="16"/>
              </w:rPr>
            </w:pPr>
            <w:r w:rsidRPr="00BD4B00">
              <w:rPr>
                <w:rFonts w:asciiTheme="majorBidi" w:hAnsiTheme="majorBidi" w:cstheme="majorBidi"/>
                <w:color w:val="000000"/>
                <w:sz w:val="16"/>
                <w:szCs w:val="16"/>
              </w:rPr>
              <w:t>-74</w:t>
            </w:r>
          </w:p>
        </w:tc>
        <w:tc>
          <w:tcPr>
            <w:tcW w:w="0" w:type="auto"/>
            <w:tcBorders>
              <w:top w:val="nil"/>
              <w:left w:val="nil"/>
              <w:bottom w:val="single" w:sz="4" w:space="0" w:color="auto"/>
              <w:right w:val="single" w:sz="4" w:space="0" w:color="auto"/>
            </w:tcBorders>
            <w:shd w:val="clear" w:color="auto" w:fill="auto"/>
            <w:vAlign w:val="center"/>
            <w:hideMark/>
          </w:tcPr>
          <w:p w:rsidR="00352124" w:rsidRPr="00BD4B00" w:rsidRDefault="00352124" w:rsidP="00BD4B00">
            <w:pPr>
              <w:widowControl/>
              <w:autoSpaceDE/>
              <w:autoSpaceDN/>
              <w:adjustRightInd/>
              <w:spacing w:line="360" w:lineRule="auto"/>
              <w:jc w:val="center"/>
              <w:rPr>
                <w:rFonts w:asciiTheme="majorBidi" w:hAnsiTheme="majorBidi" w:cstheme="majorBidi"/>
                <w:color w:val="000000"/>
                <w:sz w:val="16"/>
                <w:szCs w:val="16"/>
              </w:rPr>
            </w:pPr>
            <w:r w:rsidRPr="00BD4B00">
              <w:rPr>
                <w:rFonts w:asciiTheme="majorBidi" w:hAnsiTheme="majorBidi" w:cstheme="majorBidi"/>
                <w:color w:val="000000"/>
                <w:sz w:val="16"/>
                <w:szCs w:val="16"/>
              </w:rPr>
              <w:t>-74,5</w:t>
            </w:r>
          </w:p>
        </w:tc>
        <w:tc>
          <w:tcPr>
            <w:tcW w:w="0" w:type="auto"/>
            <w:tcBorders>
              <w:top w:val="nil"/>
              <w:left w:val="nil"/>
              <w:bottom w:val="single" w:sz="4" w:space="0" w:color="auto"/>
              <w:right w:val="single" w:sz="4" w:space="0" w:color="auto"/>
            </w:tcBorders>
            <w:shd w:val="clear" w:color="auto" w:fill="auto"/>
            <w:vAlign w:val="center"/>
            <w:hideMark/>
          </w:tcPr>
          <w:p w:rsidR="00352124" w:rsidRPr="00BD4B00" w:rsidRDefault="00352124" w:rsidP="00BD4B00">
            <w:pPr>
              <w:widowControl/>
              <w:autoSpaceDE/>
              <w:autoSpaceDN/>
              <w:adjustRightInd/>
              <w:spacing w:line="360" w:lineRule="auto"/>
              <w:jc w:val="center"/>
              <w:rPr>
                <w:rFonts w:asciiTheme="majorBidi" w:hAnsiTheme="majorBidi" w:cstheme="majorBidi"/>
                <w:color w:val="000000"/>
                <w:sz w:val="16"/>
                <w:szCs w:val="16"/>
              </w:rPr>
            </w:pPr>
            <w:r w:rsidRPr="00BD4B00">
              <w:rPr>
                <w:rFonts w:asciiTheme="majorBidi" w:hAnsiTheme="majorBidi" w:cstheme="majorBidi"/>
                <w:color w:val="000000"/>
                <w:sz w:val="16"/>
                <w:szCs w:val="16"/>
              </w:rPr>
              <w:t>-77,7</w:t>
            </w:r>
          </w:p>
        </w:tc>
        <w:tc>
          <w:tcPr>
            <w:tcW w:w="0" w:type="auto"/>
            <w:tcBorders>
              <w:top w:val="nil"/>
              <w:left w:val="nil"/>
              <w:bottom w:val="single" w:sz="4" w:space="0" w:color="auto"/>
              <w:right w:val="single" w:sz="4" w:space="0" w:color="auto"/>
            </w:tcBorders>
            <w:shd w:val="clear" w:color="auto" w:fill="auto"/>
            <w:vAlign w:val="center"/>
            <w:hideMark/>
          </w:tcPr>
          <w:p w:rsidR="00352124" w:rsidRPr="00BD4B00" w:rsidRDefault="00352124" w:rsidP="00BD4B00">
            <w:pPr>
              <w:widowControl/>
              <w:autoSpaceDE/>
              <w:autoSpaceDN/>
              <w:adjustRightInd/>
              <w:spacing w:line="360" w:lineRule="auto"/>
              <w:jc w:val="center"/>
              <w:rPr>
                <w:rFonts w:asciiTheme="majorBidi" w:hAnsiTheme="majorBidi" w:cstheme="majorBidi"/>
                <w:color w:val="000000"/>
                <w:sz w:val="16"/>
                <w:szCs w:val="16"/>
              </w:rPr>
            </w:pPr>
            <w:r w:rsidRPr="00BD4B00">
              <w:rPr>
                <w:rFonts w:asciiTheme="majorBidi" w:hAnsiTheme="majorBidi" w:cstheme="majorBidi"/>
                <w:color w:val="000000"/>
                <w:sz w:val="16"/>
                <w:szCs w:val="16"/>
              </w:rPr>
              <w:t>-77,3</w:t>
            </w:r>
          </w:p>
        </w:tc>
        <w:tc>
          <w:tcPr>
            <w:tcW w:w="0" w:type="auto"/>
            <w:tcBorders>
              <w:top w:val="nil"/>
              <w:left w:val="nil"/>
              <w:bottom w:val="single" w:sz="4" w:space="0" w:color="auto"/>
              <w:right w:val="single" w:sz="4" w:space="0" w:color="auto"/>
            </w:tcBorders>
            <w:shd w:val="clear" w:color="auto" w:fill="auto"/>
            <w:vAlign w:val="center"/>
            <w:hideMark/>
          </w:tcPr>
          <w:p w:rsidR="00352124" w:rsidRPr="00BD4B00" w:rsidRDefault="00352124" w:rsidP="00BD4B00">
            <w:pPr>
              <w:widowControl/>
              <w:autoSpaceDE/>
              <w:autoSpaceDN/>
              <w:adjustRightInd/>
              <w:spacing w:line="360" w:lineRule="auto"/>
              <w:jc w:val="center"/>
              <w:rPr>
                <w:rFonts w:asciiTheme="majorBidi" w:hAnsiTheme="majorBidi" w:cstheme="majorBidi"/>
                <w:color w:val="000000"/>
                <w:sz w:val="16"/>
                <w:szCs w:val="16"/>
              </w:rPr>
            </w:pPr>
            <w:r w:rsidRPr="00BD4B00">
              <w:rPr>
                <w:rFonts w:asciiTheme="majorBidi" w:hAnsiTheme="majorBidi" w:cstheme="majorBidi"/>
                <w:color w:val="000000"/>
                <w:sz w:val="16"/>
                <w:szCs w:val="16"/>
              </w:rPr>
              <w:t>-77,9</w:t>
            </w:r>
          </w:p>
        </w:tc>
        <w:tc>
          <w:tcPr>
            <w:tcW w:w="0" w:type="auto"/>
            <w:tcBorders>
              <w:top w:val="nil"/>
              <w:left w:val="nil"/>
              <w:bottom w:val="single" w:sz="4" w:space="0" w:color="auto"/>
              <w:right w:val="single" w:sz="4" w:space="0" w:color="auto"/>
            </w:tcBorders>
            <w:shd w:val="clear" w:color="auto" w:fill="auto"/>
            <w:vAlign w:val="center"/>
            <w:hideMark/>
          </w:tcPr>
          <w:p w:rsidR="00352124" w:rsidRPr="00BD4B00" w:rsidRDefault="00352124" w:rsidP="00BD4B00">
            <w:pPr>
              <w:widowControl/>
              <w:autoSpaceDE/>
              <w:autoSpaceDN/>
              <w:adjustRightInd/>
              <w:spacing w:line="360" w:lineRule="auto"/>
              <w:jc w:val="center"/>
              <w:rPr>
                <w:rFonts w:asciiTheme="majorBidi" w:hAnsiTheme="majorBidi" w:cstheme="majorBidi"/>
                <w:color w:val="000000"/>
                <w:sz w:val="16"/>
                <w:szCs w:val="16"/>
              </w:rPr>
            </w:pPr>
            <w:r w:rsidRPr="00BD4B00">
              <w:rPr>
                <w:rFonts w:asciiTheme="majorBidi" w:hAnsiTheme="majorBidi" w:cstheme="majorBidi"/>
                <w:color w:val="000000"/>
                <w:sz w:val="16"/>
                <w:szCs w:val="16"/>
              </w:rPr>
              <w:t>-77,3</w:t>
            </w:r>
          </w:p>
        </w:tc>
        <w:tc>
          <w:tcPr>
            <w:tcW w:w="0" w:type="auto"/>
            <w:tcBorders>
              <w:top w:val="nil"/>
              <w:left w:val="nil"/>
              <w:bottom w:val="single" w:sz="4" w:space="0" w:color="auto"/>
              <w:right w:val="single" w:sz="4" w:space="0" w:color="auto"/>
            </w:tcBorders>
            <w:shd w:val="clear" w:color="auto" w:fill="auto"/>
            <w:vAlign w:val="center"/>
            <w:hideMark/>
          </w:tcPr>
          <w:p w:rsidR="00352124" w:rsidRPr="00BD4B00" w:rsidRDefault="00352124" w:rsidP="00BD4B00">
            <w:pPr>
              <w:widowControl/>
              <w:autoSpaceDE/>
              <w:autoSpaceDN/>
              <w:adjustRightInd/>
              <w:spacing w:line="360" w:lineRule="auto"/>
              <w:jc w:val="center"/>
              <w:rPr>
                <w:rFonts w:asciiTheme="majorBidi" w:hAnsiTheme="majorBidi" w:cstheme="majorBidi"/>
                <w:color w:val="000000"/>
                <w:sz w:val="16"/>
                <w:szCs w:val="16"/>
              </w:rPr>
            </w:pPr>
            <w:r w:rsidRPr="00BD4B00">
              <w:rPr>
                <w:rFonts w:asciiTheme="majorBidi" w:hAnsiTheme="majorBidi" w:cstheme="majorBidi"/>
                <w:color w:val="000000"/>
                <w:sz w:val="16"/>
                <w:szCs w:val="16"/>
              </w:rPr>
              <w:t>-79,3</w:t>
            </w:r>
          </w:p>
        </w:tc>
        <w:tc>
          <w:tcPr>
            <w:tcW w:w="0" w:type="auto"/>
            <w:tcBorders>
              <w:top w:val="nil"/>
              <w:left w:val="nil"/>
              <w:bottom w:val="single" w:sz="4" w:space="0" w:color="auto"/>
              <w:right w:val="single" w:sz="4" w:space="0" w:color="auto"/>
            </w:tcBorders>
            <w:shd w:val="clear" w:color="auto" w:fill="auto"/>
            <w:vAlign w:val="center"/>
            <w:hideMark/>
          </w:tcPr>
          <w:p w:rsidR="00352124" w:rsidRPr="00BD4B00" w:rsidRDefault="00352124" w:rsidP="00BD4B00">
            <w:pPr>
              <w:widowControl/>
              <w:autoSpaceDE/>
              <w:autoSpaceDN/>
              <w:bidi/>
              <w:adjustRightInd/>
              <w:spacing w:line="360" w:lineRule="auto"/>
              <w:rPr>
                <w:rFonts w:asciiTheme="majorBidi" w:hAnsiTheme="majorBidi" w:cstheme="majorBidi"/>
                <w:b/>
                <w:bCs/>
                <w:color w:val="000000"/>
                <w:sz w:val="16"/>
                <w:szCs w:val="16"/>
              </w:rPr>
            </w:pPr>
            <w:r w:rsidRPr="00BD4B00">
              <w:rPr>
                <w:rFonts w:asciiTheme="majorBidi" w:hAnsiTheme="majorBidi" w:cstheme="majorBidi"/>
                <w:b/>
                <w:bCs/>
                <w:color w:val="000000"/>
                <w:sz w:val="16"/>
                <w:szCs w:val="16"/>
                <w:rtl/>
              </w:rPr>
              <w:t>التطور المرتقب لأسعار المواد الغذائية</w:t>
            </w:r>
          </w:p>
        </w:tc>
      </w:tr>
      <w:tr w:rsidR="00696211" w:rsidRPr="00BD4B00" w:rsidTr="00BD4B00">
        <w:trPr>
          <w:trHeight w:val="888"/>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352124" w:rsidRPr="00BD4B00" w:rsidRDefault="00352124" w:rsidP="00BD4B00">
            <w:pPr>
              <w:widowControl/>
              <w:autoSpaceDE/>
              <w:autoSpaceDN/>
              <w:adjustRightInd/>
              <w:spacing w:line="360" w:lineRule="auto"/>
              <w:jc w:val="center"/>
              <w:rPr>
                <w:rFonts w:asciiTheme="majorBidi" w:hAnsiTheme="majorBidi" w:cstheme="majorBidi"/>
                <w:color w:val="000000"/>
                <w:sz w:val="16"/>
                <w:szCs w:val="16"/>
              </w:rPr>
            </w:pPr>
            <w:r w:rsidRPr="00BD4B00">
              <w:rPr>
                <w:rFonts w:asciiTheme="majorBidi" w:hAnsiTheme="majorBidi" w:cstheme="majorBidi"/>
                <w:color w:val="000000"/>
                <w:sz w:val="16"/>
                <w:szCs w:val="16"/>
              </w:rPr>
              <w:t>-98,8</w:t>
            </w:r>
          </w:p>
        </w:tc>
        <w:tc>
          <w:tcPr>
            <w:tcW w:w="590" w:type="dxa"/>
            <w:tcBorders>
              <w:top w:val="nil"/>
              <w:left w:val="nil"/>
              <w:bottom w:val="single" w:sz="4" w:space="0" w:color="auto"/>
              <w:right w:val="single" w:sz="4" w:space="0" w:color="auto"/>
            </w:tcBorders>
            <w:shd w:val="clear" w:color="auto" w:fill="auto"/>
            <w:vAlign w:val="center"/>
            <w:hideMark/>
          </w:tcPr>
          <w:p w:rsidR="00352124" w:rsidRPr="00BD4B00" w:rsidRDefault="00352124" w:rsidP="00BD4B00">
            <w:pPr>
              <w:widowControl/>
              <w:autoSpaceDE/>
              <w:autoSpaceDN/>
              <w:adjustRightInd/>
              <w:spacing w:line="360" w:lineRule="auto"/>
              <w:jc w:val="center"/>
              <w:rPr>
                <w:rFonts w:asciiTheme="majorBidi" w:hAnsiTheme="majorBidi" w:cstheme="majorBidi"/>
                <w:color w:val="000000"/>
                <w:sz w:val="16"/>
                <w:szCs w:val="16"/>
              </w:rPr>
            </w:pPr>
            <w:r w:rsidRPr="00BD4B00">
              <w:rPr>
                <w:rFonts w:asciiTheme="majorBidi" w:hAnsiTheme="majorBidi" w:cstheme="majorBidi"/>
                <w:color w:val="000000"/>
                <w:sz w:val="16"/>
                <w:szCs w:val="16"/>
              </w:rPr>
              <w:t>-99,1</w:t>
            </w:r>
          </w:p>
        </w:tc>
        <w:tc>
          <w:tcPr>
            <w:tcW w:w="0" w:type="auto"/>
            <w:tcBorders>
              <w:top w:val="nil"/>
              <w:left w:val="nil"/>
              <w:bottom w:val="single" w:sz="4" w:space="0" w:color="auto"/>
              <w:right w:val="single" w:sz="4" w:space="0" w:color="auto"/>
            </w:tcBorders>
            <w:shd w:val="clear" w:color="auto" w:fill="auto"/>
            <w:vAlign w:val="center"/>
            <w:hideMark/>
          </w:tcPr>
          <w:p w:rsidR="00352124" w:rsidRPr="00BD4B00" w:rsidRDefault="00352124" w:rsidP="00BD4B00">
            <w:pPr>
              <w:widowControl/>
              <w:autoSpaceDE/>
              <w:autoSpaceDN/>
              <w:adjustRightInd/>
              <w:spacing w:line="360" w:lineRule="auto"/>
              <w:jc w:val="center"/>
              <w:rPr>
                <w:rFonts w:asciiTheme="majorBidi" w:hAnsiTheme="majorBidi" w:cstheme="majorBidi"/>
                <w:color w:val="000000"/>
                <w:sz w:val="16"/>
                <w:szCs w:val="16"/>
              </w:rPr>
            </w:pPr>
            <w:r w:rsidRPr="00BD4B00">
              <w:rPr>
                <w:rFonts w:asciiTheme="majorBidi" w:hAnsiTheme="majorBidi" w:cstheme="majorBidi"/>
                <w:color w:val="000000"/>
                <w:sz w:val="16"/>
                <w:szCs w:val="16"/>
              </w:rPr>
              <w:t>-99,1</w:t>
            </w:r>
          </w:p>
        </w:tc>
        <w:tc>
          <w:tcPr>
            <w:tcW w:w="0" w:type="auto"/>
            <w:tcBorders>
              <w:top w:val="nil"/>
              <w:left w:val="nil"/>
              <w:bottom w:val="single" w:sz="4" w:space="0" w:color="auto"/>
              <w:right w:val="single" w:sz="4" w:space="0" w:color="auto"/>
            </w:tcBorders>
            <w:shd w:val="clear" w:color="auto" w:fill="auto"/>
            <w:vAlign w:val="center"/>
            <w:hideMark/>
          </w:tcPr>
          <w:p w:rsidR="00352124" w:rsidRPr="00BD4B00" w:rsidRDefault="00352124" w:rsidP="00BD4B00">
            <w:pPr>
              <w:widowControl/>
              <w:autoSpaceDE/>
              <w:autoSpaceDN/>
              <w:adjustRightInd/>
              <w:spacing w:line="360" w:lineRule="auto"/>
              <w:jc w:val="center"/>
              <w:rPr>
                <w:rFonts w:asciiTheme="majorBidi" w:hAnsiTheme="majorBidi" w:cstheme="majorBidi"/>
                <w:color w:val="000000"/>
                <w:sz w:val="16"/>
                <w:szCs w:val="16"/>
              </w:rPr>
            </w:pPr>
            <w:r w:rsidRPr="00BD4B00">
              <w:rPr>
                <w:rFonts w:asciiTheme="majorBidi" w:hAnsiTheme="majorBidi" w:cstheme="majorBidi"/>
                <w:color w:val="000000"/>
                <w:sz w:val="16"/>
                <w:szCs w:val="16"/>
              </w:rPr>
              <w:t>-97,9</w:t>
            </w:r>
          </w:p>
        </w:tc>
        <w:tc>
          <w:tcPr>
            <w:tcW w:w="0" w:type="auto"/>
            <w:tcBorders>
              <w:top w:val="nil"/>
              <w:left w:val="nil"/>
              <w:bottom w:val="single" w:sz="4" w:space="0" w:color="auto"/>
              <w:right w:val="single" w:sz="4" w:space="0" w:color="auto"/>
            </w:tcBorders>
            <w:shd w:val="clear" w:color="auto" w:fill="auto"/>
            <w:vAlign w:val="center"/>
            <w:hideMark/>
          </w:tcPr>
          <w:p w:rsidR="00352124" w:rsidRPr="00BD4B00" w:rsidRDefault="00352124" w:rsidP="00BD4B00">
            <w:pPr>
              <w:widowControl/>
              <w:autoSpaceDE/>
              <w:autoSpaceDN/>
              <w:adjustRightInd/>
              <w:spacing w:line="360" w:lineRule="auto"/>
              <w:jc w:val="center"/>
              <w:rPr>
                <w:rFonts w:asciiTheme="majorBidi" w:hAnsiTheme="majorBidi" w:cstheme="majorBidi"/>
                <w:color w:val="000000"/>
                <w:sz w:val="16"/>
                <w:szCs w:val="16"/>
              </w:rPr>
            </w:pPr>
            <w:r w:rsidRPr="00BD4B00">
              <w:rPr>
                <w:rFonts w:asciiTheme="majorBidi" w:hAnsiTheme="majorBidi" w:cstheme="majorBidi"/>
                <w:color w:val="000000"/>
                <w:sz w:val="16"/>
                <w:szCs w:val="16"/>
              </w:rPr>
              <w:t>-95,9</w:t>
            </w:r>
          </w:p>
        </w:tc>
        <w:tc>
          <w:tcPr>
            <w:tcW w:w="0" w:type="auto"/>
            <w:tcBorders>
              <w:top w:val="nil"/>
              <w:left w:val="nil"/>
              <w:bottom w:val="single" w:sz="4" w:space="0" w:color="auto"/>
              <w:right w:val="single" w:sz="4" w:space="0" w:color="auto"/>
            </w:tcBorders>
            <w:shd w:val="clear" w:color="auto" w:fill="auto"/>
            <w:vAlign w:val="center"/>
            <w:hideMark/>
          </w:tcPr>
          <w:p w:rsidR="00352124" w:rsidRPr="00BD4B00" w:rsidRDefault="00352124" w:rsidP="00BD4B00">
            <w:pPr>
              <w:widowControl/>
              <w:autoSpaceDE/>
              <w:autoSpaceDN/>
              <w:adjustRightInd/>
              <w:spacing w:line="360" w:lineRule="auto"/>
              <w:jc w:val="center"/>
              <w:rPr>
                <w:rFonts w:asciiTheme="majorBidi" w:hAnsiTheme="majorBidi" w:cstheme="majorBidi"/>
                <w:color w:val="000000"/>
                <w:sz w:val="16"/>
                <w:szCs w:val="16"/>
              </w:rPr>
            </w:pPr>
            <w:r w:rsidRPr="00BD4B00">
              <w:rPr>
                <w:rFonts w:asciiTheme="majorBidi" w:hAnsiTheme="majorBidi" w:cstheme="majorBidi"/>
                <w:color w:val="000000"/>
                <w:sz w:val="16"/>
                <w:szCs w:val="16"/>
              </w:rPr>
              <w:t>-86,9</w:t>
            </w:r>
          </w:p>
        </w:tc>
        <w:tc>
          <w:tcPr>
            <w:tcW w:w="0" w:type="auto"/>
            <w:tcBorders>
              <w:top w:val="nil"/>
              <w:left w:val="nil"/>
              <w:bottom w:val="single" w:sz="4" w:space="0" w:color="auto"/>
              <w:right w:val="single" w:sz="4" w:space="0" w:color="auto"/>
            </w:tcBorders>
            <w:shd w:val="clear" w:color="auto" w:fill="auto"/>
            <w:vAlign w:val="center"/>
            <w:hideMark/>
          </w:tcPr>
          <w:p w:rsidR="00352124" w:rsidRPr="00BD4B00" w:rsidRDefault="00352124" w:rsidP="00BD4B00">
            <w:pPr>
              <w:widowControl/>
              <w:autoSpaceDE/>
              <w:autoSpaceDN/>
              <w:adjustRightInd/>
              <w:spacing w:line="360" w:lineRule="auto"/>
              <w:jc w:val="center"/>
              <w:rPr>
                <w:rFonts w:asciiTheme="majorBidi" w:hAnsiTheme="majorBidi" w:cstheme="majorBidi"/>
                <w:color w:val="000000"/>
                <w:sz w:val="16"/>
                <w:szCs w:val="16"/>
              </w:rPr>
            </w:pPr>
            <w:r w:rsidRPr="00BD4B00">
              <w:rPr>
                <w:rFonts w:asciiTheme="majorBidi" w:hAnsiTheme="majorBidi" w:cstheme="majorBidi"/>
                <w:color w:val="000000"/>
                <w:sz w:val="16"/>
                <w:szCs w:val="16"/>
              </w:rPr>
              <w:t>-86,8</w:t>
            </w:r>
          </w:p>
        </w:tc>
        <w:tc>
          <w:tcPr>
            <w:tcW w:w="0" w:type="auto"/>
            <w:tcBorders>
              <w:top w:val="nil"/>
              <w:left w:val="nil"/>
              <w:bottom w:val="single" w:sz="4" w:space="0" w:color="auto"/>
              <w:right w:val="single" w:sz="4" w:space="0" w:color="auto"/>
            </w:tcBorders>
            <w:shd w:val="clear" w:color="auto" w:fill="auto"/>
            <w:vAlign w:val="center"/>
            <w:hideMark/>
          </w:tcPr>
          <w:p w:rsidR="00352124" w:rsidRPr="00BD4B00" w:rsidRDefault="00352124" w:rsidP="00BD4B00">
            <w:pPr>
              <w:widowControl/>
              <w:autoSpaceDE/>
              <w:autoSpaceDN/>
              <w:adjustRightInd/>
              <w:spacing w:line="360" w:lineRule="auto"/>
              <w:jc w:val="center"/>
              <w:rPr>
                <w:rFonts w:asciiTheme="majorBidi" w:hAnsiTheme="majorBidi" w:cstheme="majorBidi"/>
                <w:color w:val="000000"/>
                <w:sz w:val="16"/>
                <w:szCs w:val="16"/>
              </w:rPr>
            </w:pPr>
            <w:r w:rsidRPr="00BD4B00">
              <w:rPr>
                <w:rFonts w:asciiTheme="majorBidi" w:hAnsiTheme="majorBidi" w:cstheme="majorBidi"/>
                <w:color w:val="000000"/>
                <w:sz w:val="16"/>
                <w:szCs w:val="16"/>
              </w:rPr>
              <w:t>-74</w:t>
            </w:r>
          </w:p>
        </w:tc>
        <w:tc>
          <w:tcPr>
            <w:tcW w:w="0" w:type="auto"/>
            <w:tcBorders>
              <w:top w:val="nil"/>
              <w:left w:val="nil"/>
              <w:bottom w:val="single" w:sz="4" w:space="0" w:color="auto"/>
              <w:right w:val="single" w:sz="4" w:space="0" w:color="auto"/>
            </w:tcBorders>
            <w:shd w:val="clear" w:color="auto" w:fill="auto"/>
            <w:vAlign w:val="center"/>
            <w:hideMark/>
          </w:tcPr>
          <w:p w:rsidR="00352124" w:rsidRPr="00BD4B00" w:rsidRDefault="00352124" w:rsidP="00BD4B00">
            <w:pPr>
              <w:widowControl/>
              <w:autoSpaceDE/>
              <w:autoSpaceDN/>
              <w:adjustRightInd/>
              <w:spacing w:line="360" w:lineRule="auto"/>
              <w:jc w:val="center"/>
              <w:rPr>
                <w:rFonts w:asciiTheme="majorBidi" w:hAnsiTheme="majorBidi" w:cstheme="majorBidi"/>
                <w:color w:val="000000"/>
                <w:sz w:val="16"/>
                <w:szCs w:val="16"/>
              </w:rPr>
            </w:pPr>
            <w:r w:rsidRPr="00BD4B00">
              <w:rPr>
                <w:rFonts w:asciiTheme="majorBidi" w:hAnsiTheme="majorBidi" w:cstheme="majorBidi"/>
                <w:color w:val="000000"/>
                <w:sz w:val="16"/>
                <w:szCs w:val="16"/>
              </w:rPr>
              <w:t>-74,7</w:t>
            </w:r>
          </w:p>
        </w:tc>
        <w:tc>
          <w:tcPr>
            <w:tcW w:w="0" w:type="auto"/>
            <w:tcBorders>
              <w:top w:val="nil"/>
              <w:left w:val="nil"/>
              <w:bottom w:val="single" w:sz="4" w:space="0" w:color="auto"/>
              <w:right w:val="single" w:sz="4" w:space="0" w:color="auto"/>
            </w:tcBorders>
            <w:shd w:val="clear" w:color="auto" w:fill="auto"/>
            <w:vAlign w:val="center"/>
            <w:hideMark/>
          </w:tcPr>
          <w:p w:rsidR="00352124" w:rsidRPr="00BD4B00" w:rsidRDefault="00352124" w:rsidP="00BD4B00">
            <w:pPr>
              <w:widowControl/>
              <w:autoSpaceDE/>
              <w:autoSpaceDN/>
              <w:adjustRightInd/>
              <w:spacing w:line="360" w:lineRule="auto"/>
              <w:jc w:val="center"/>
              <w:rPr>
                <w:rFonts w:asciiTheme="majorBidi" w:hAnsiTheme="majorBidi" w:cstheme="majorBidi"/>
                <w:color w:val="000000"/>
                <w:sz w:val="16"/>
                <w:szCs w:val="16"/>
              </w:rPr>
            </w:pPr>
            <w:r w:rsidRPr="00BD4B00">
              <w:rPr>
                <w:rFonts w:asciiTheme="majorBidi" w:hAnsiTheme="majorBidi" w:cstheme="majorBidi"/>
                <w:color w:val="000000"/>
                <w:sz w:val="16"/>
                <w:szCs w:val="16"/>
              </w:rPr>
              <w:t>-75,1</w:t>
            </w:r>
          </w:p>
        </w:tc>
        <w:tc>
          <w:tcPr>
            <w:tcW w:w="0" w:type="auto"/>
            <w:tcBorders>
              <w:top w:val="nil"/>
              <w:left w:val="nil"/>
              <w:bottom w:val="single" w:sz="4" w:space="0" w:color="auto"/>
              <w:right w:val="single" w:sz="4" w:space="0" w:color="auto"/>
            </w:tcBorders>
            <w:shd w:val="clear" w:color="auto" w:fill="auto"/>
            <w:vAlign w:val="center"/>
            <w:hideMark/>
          </w:tcPr>
          <w:p w:rsidR="00352124" w:rsidRPr="00BD4B00" w:rsidRDefault="00352124" w:rsidP="00BD4B00">
            <w:pPr>
              <w:widowControl/>
              <w:autoSpaceDE/>
              <w:autoSpaceDN/>
              <w:adjustRightInd/>
              <w:spacing w:line="360" w:lineRule="auto"/>
              <w:jc w:val="center"/>
              <w:rPr>
                <w:rFonts w:asciiTheme="majorBidi" w:hAnsiTheme="majorBidi" w:cstheme="majorBidi"/>
                <w:color w:val="000000"/>
                <w:sz w:val="16"/>
                <w:szCs w:val="16"/>
              </w:rPr>
            </w:pPr>
            <w:r w:rsidRPr="00BD4B00">
              <w:rPr>
                <w:rFonts w:asciiTheme="majorBidi" w:hAnsiTheme="majorBidi" w:cstheme="majorBidi"/>
                <w:color w:val="000000"/>
                <w:sz w:val="16"/>
                <w:szCs w:val="16"/>
              </w:rPr>
              <w:t>-67,6</w:t>
            </w:r>
          </w:p>
        </w:tc>
        <w:tc>
          <w:tcPr>
            <w:tcW w:w="0" w:type="auto"/>
            <w:tcBorders>
              <w:top w:val="nil"/>
              <w:left w:val="nil"/>
              <w:bottom w:val="single" w:sz="4" w:space="0" w:color="auto"/>
              <w:right w:val="single" w:sz="4" w:space="0" w:color="auto"/>
            </w:tcBorders>
            <w:shd w:val="clear" w:color="auto" w:fill="auto"/>
            <w:vAlign w:val="center"/>
            <w:hideMark/>
          </w:tcPr>
          <w:p w:rsidR="00352124" w:rsidRPr="00BD4B00" w:rsidRDefault="00352124" w:rsidP="00BD4B00">
            <w:pPr>
              <w:widowControl/>
              <w:autoSpaceDE/>
              <w:autoSpaceDN/>
              <w:adjustRightInd/>
              <w:spacing w:line="360" w:lineRule="auto"/>
              <w:jc w:val="center"/>
              <w:rPr>
                <w:rFonts w:asciiTheme="majorBidi" w:hAnsiTheme="majorBidi" w:cstheme="majorBidi"/>
                <w:color w:val="000000"/>
                <w:sz w:val="16"/>
                <w:szCs w:val="16"/>
              </w:rPr>
            </w:pPr>
            <w:r w:rsidRPr="00BD4B00">
              <w:rPr>
                <w:rFonts w:asciiTheme="majorBidi" w:hAnsiTheme="majorBidi" w:cstheme="majorBidi"/>
                <w:color w:val="000000"/>
                <w:sz w:val="16"/>
                <w:szCs w:val="16"/>
              </w:rPr>
              <w:t>-82,8</w:t>
            </w:r>
          </w:p>
        </w:tc>
        <w:tc>
          <w:tcPr>
            <w:tcW w:w="0" w:type="auto"/>
            <w:tcBorders>
              <w:top w:val="nil"/>
              <w:left w:val="nil"/>
              <w:bottom w:val="single" w:sz="4" w:space="0" w:color="auto"/>
              <w:right w:val="single" w:sz="4" w:space="0" w:color="auto"/>
            </w:tcBorders>
            <w:shd w:val="clear" w:color="auto" w:fill="auto"/>
            <w:vAlign w:val="center"/>
            <w:hideMark/>
          </w:tcPr>
          <w:p w:rsidR="00352124" w:rsidRPr="00BD4B00" w:rsidRDefault="00352124" w:rsidP="00BD4B00">
            <w:pPr>
              <w:widowControl/>
              <w:autoSpaceDE/>
              <w:autoSpaceDN/>
              <w:adjustRightInd/>
              <w:spacing w:line="360" w:lineRule="auto"/>
              <w:jc w:val="center"/>
              <w:rPr>
                <w:rFonts w:asciiTheme="majorBidi" w:hAnsiTheme="majorBidi" w:cstheme="majorBidi"/>
                <w:color w:val="000000"/>
                <w:sz w:val="16"/>
                <w:szCs w:val="16"/>
              </w:rPr>
            </w:pPr>
            <w:r w:rsidRPr="00BD4B00">
              <w:rPr>
                <w:rFonts w:asciiTheme="majorBidi" w:hAnsiTheme="majorBidi" w:cstheme="majorBidi"/>
                <w:color w:val="000000"/>
                <w:sz w:val="16"/>
                <w:szCs w:val="16"/>
              </w:rPr>
              <w:t>-85,1</w:t>
            </w:r>
          </w:p>
        </w:tc>
        <w:tc>
          <w:tcPr>
            <w:tcW w:w="0" w:type="auto"/>
            <w:tcBorders>
              <w:top w:val="nil"/>
              <w:left w:val="nil"/>
              <w:bottom w:val="single" w:sz="4" w:space="0" w:color="auto"/>
              <w:right w:val="single" w:sz="4" w:space="0" w:color="auto"/>
            </w:tcBorders>
            <w:shd w:val="clear" w:color="auto" w:fill="auto"/>
            <w:vAlign w:val="center"/>
            <w:hideMark/>
          </w:tcPr>
          <w:p w:rsidR="00352124" w:rsidRPr="00BD4B00" w:rsidRDefault="00352124" w:rsidP="00BD4B00">
            <w:pPr>
              <w:widowControl/>
              <w:autoSpaceDE/>
              <w:autoSpaceDN/>
              <w:adjustRightInd/>
              <w:spacing w:line="360" w:lineRule="auto"/>
              <w:jc w:val="center"/>
              <w:rPr>
                <w:rFonts w:asciiTheme="majorBidi" w:hAnsiTheme="majorBidi" w:cstheme="majorBidi"/>
                <w:color w:val="000000"/>
                <w:sz w:val="16"/>
                <w:szCs w:val="16"/>
              </w:rPr>
            </w:pPr>
            <w:r w:rsidRPr="00BD4B00">
              <w:rPr>
                <w:rFonts w:asciiTheme="majorBidi" w:hAnsiTheme="majorBidi" w:cstheme="majorBidi"/>
                <w:color w:val="000000"/>
                <w:sz w:val="16"/>
                <w:szCs w:val="16"/>
              </w:rPr>
              <w:t>-83,7</w:t>
            </w:r>
          </w:p>
        </w:tc>
        <w:tc>
          <w:tcPr>
            <w:tcW w:w="0" w:type="auto"/>
            <w:tcBorders>
              <w:top w:val="nil"/>
              <w:left w:val="nil"/>
              <w:bottom w:val="single" w:sz="4" w:space="0" w:color="auto"/>
              <w:right w:val="single" w:sz="4" w:space="0" w:color="auto"/>
            </w:tcBorders>
            <w:shd w:val="clear" w:color="auto" w:fill="auto"/>
            <w:vAlign w:val="center"/>
            <w:hideMark/>
          </w:tcPr>
          <w:p w:rsidR="00352124" w:rsidRPr="00BD4B00" w:rsidRDefault="00352124" w:rsidP="00BD4B00">
            <w:pPr>
              <w:widowControl/>
              <w:autoSpaceDE/>
              <w:autoSpaceDN/>
              <w:adjustRightInd/>
              <w:spacing w:line="360" w:lineRule="auto"/>
              <w:jc w:val="center"/>
              <w:rPr>
                <w:rFonts w:asciiTheme="majorBidi" w:hAnsiTheme="majorBidi" w:cstheme="majorBidi"/>
                <w:color w:val="000000"/>
                <w:sz w:val="16"/>
                <w:szCs w:val="16"/>
              </w:rPr>
            </w:pPr>
            <w:r w:rsidRPr="00BD4B00">
              <w:rPr>
                <w:rFonts w:asciiTheme="majorBidi" w:hAnsiTheme="majorBidi" w:cstheme="majorBidi"/>
                <w:color w:val="000000"/>
                <w:sz w:val="16"/>
                <w:szCs w:val="16"/>
              </w:rPr>
              <w:t>-88,9</w:t>
            </w:r>
          </w:p>
        </w:tc>
        <w:tc>
          <w:tcPr>
            <w:tcW w:w="0" w:type="auto"/>
            <w:tcBorders>
              <w:top w:val="nil"/>
              <w:left w:val="nil"/>
              <w:bottom w:val="single" w:sz="4" w:space="0" w:color="auto"/>
              <w:right w:val="single" w:sz="4" w:space="0" w:color="auto"/>
            </w:tcBorders>
            <w:shd w:val="clear" w:color="auto" w:fill="auto"/>
            <w:vAlign w:val="center"/>
            <w:hideMark/>
          </w:tcPr>
          <w:p w:rsidR="00352124" w:rsidRPr="00BD4B00" w:rsidRDefault="00352124" w:rsidP="00BD4B00">
            <w:pPr>
              <w:widowControl/>
              <w:autoSpaceDE/>
              <w:autoSpaceDN/>
              <w:adjustRightInd/>
              <w:spacing w:line="360" w:lineRule="auto"/>
              <w:jc w:val="center"/>
              <w:rPr>
                <w:rFonts w:asciiTheme="majorBidi" w:hAnsiTheme="majorBidi" w:cstheme="majorBidi"/>
                <w:color w:val="000000"/>
                <w:sz w:val="16"/>
                <w:szCs w:val="16"/>
              </w:rPr>
            </w:pPr>
            <w:r w:rsidRPr="00BD4B00">
              <w:rPr>
                <w:rFonts w:asciiTheme="majorBidi" w:hAnsiTheme="majorBidi" w:cstheme="majorBidi"/>
                <w:color w:val="000000"/>
                <w:sz w:val="16"/>
                <w:szCs w:val="16"/>
              </w:rPr>
              <w:t>-88,1</w:t>
            </w:r>
          </w:p>
        </w:tc>
        <w:tc>
          <w:tcPr>
            <w:tcW w:w="0" w:type="auto"/>
            <w:tcBorders>
              <w:top w:val="nil"/>
              <w:left w:val="nil"/>
              <w:bottom w:val="single" w:sz="4" w:space="0" w:color="auto"/>
              <w:right w:val="single" w:sz="4" w:space="0" w:color="auto"/>
            </w:tcBorders>
            <w:shd w:val="clear" w:color="auto" w:fill="auto"/>
            <w:vAlign w:val="center"/>
            <w:hideMark/>
          </w:tcPr>
          <w:p w:rsidR="00352124" w:rsidRPr="00BD4B00" w:rsidRDefault="00352124" w:rsidP="00BD4B00">
            <w:pPr>
              <w:widowControl/>
              <w:autoSpaceDE/>
              <w:autoSpaceDN/>
              <w:adjustRightInd/>
              <w:spacing w:line="360" w:lineRule="auto"/>
              <w:jc w:val="center"/>
              <w:rPr>
                <w:rFonts w:asciiTheme="majorBidi" w:hAnsiTheme="majorBidi" w:cstheme="majorBidi"/>
                <w:color w:val="000000"/>
                <w:sz w:val="16"/>
                <w:szCs w:val="16"/>
              </w:rPr>
            </w:pPr>
            <w:r w:rsidRPr="00BD4B00">
              <w:rPr>
                <w:rFonts w:asciiTheme="majorBidi" w:hAnsiTheme="majorBidi" w:cstheme="majorBidi"/>
                <w:color w:val="000000"/>
                <w:sz w:val="16"/>
                <w:szCs w:val="16"/>
              </w:rPr>
              <w:t>-90,3</w:t>
            </w:r>
          </w:p>
        </w:tc>
        <w:tc>
          <w:tcPr>
            <w:tcW w:w="0" w:type="auto"/>
            <w:tcBorders>
              <w:top w:val="nil"/>
              <w:left w:val="nil"/>
              <w:bottom w:val="single" w:sz="4" w:space="0" w:color="auto"/>
              <w:right w:val="single" w:sz="4" w:space="0" w:color="auto"/>
            </w:tcBorders>
            <w:shd w:val="clear" w:color="auto" w:fill="auto"/>
            <w:vAlign w:val="center"/>
            <w:hideMark/>
          </w:tcPr>
          <w:p w:rsidR="00352124" w:rsidRPr="00BD4B00" w:rsidRDefault="00352124" w:rsidP="00BD4B00">
            <w:pPr>
              <w:widowControl/>
              <w:autoSpaceDE/>
              <w:autoSpaceDN/>
              <w:adjustRightInd/>
              <w:spacing w:line="360" w:lineRule="auto"/>
              <w:jc w:val="center"/>
              <w:rPr>
                <w:rFonts w:asciiTheme="majorBidi" w:hAnsiTheme="majorBidi" w:cstheme="majorBidi"/>
                <w:color w:val="000000"/>
                <w:sz w:val="16"/>
                <w:szCs w:val="16"/>
              </w:rPr>
            </w:pPr>
            <w:r w:rsidRPr="00BD4B00">
              <w:rPr>
                <w:rFonts w:asciiTheme="majorBidi" w:hAnsiTheme="majorBidi" w:cstheme="majorBidi"/>
                <w:color w:val="000000"/>
                <w:sz w:val="16"/>
                <w:szCs w:val="16"/>
              </w:rPr>
              <w:t>-88,1</w:t>
            </w:r>
          </w:p>
        </w:tc>
        <w:tc>
          <w:tcPr>
            <w:tcW w:w="0" w:type="auto"/>
            <w:tcBorders>
              <w:top w:val="nil"/>
              <w:left w:val="nil"/>
              <w:bottom w:val="single" w:sz="4" w:space="0" w:color="auto"/>
              <w:right w:val="single" w:sz="4" w:space="0" w:color="auto"/>
            </w:tcBorders>
            <w:shd w:val="clear" w:color="auto" w:fill="auto"/>
            <w:vAlign w:val="center"/>
            <w:hideMark/>
          </w:tcPr>
          <w:p w:rsidR="00352124" w:rsidRPr="00BD4B00" w:rsidRDefault="00352124" w:rsidP="00BD4B00">
            <w:pPr>
              <w:widowControl/>
              <w:autoSpaceDE/>
              <w:autoSpaceDN/>
              <w:adjustRightInd/>
              <w:spacing w:line="360" w:lineRule="auto"/>
              <w:jc w:val="center"/>
              <w:rPr>
                <w:rFonts w:asciiTheme="majorBidi" w:hAnsiTheme="majorBidi" w:cstheme="majorBidi"/>
                <w:color w:val="000000"/>
                <w:sz w:val="16"/>
                <w:szCs w:val="16"/>
              </w:rPr>
            </w:pPr>
            <w:r w:rsidRPr="00BD4B00">
              <w:rPr>
                <w:rFonts w:asciiTheme="majorBidi" w:hAnsiTheme="majorBidi" w:cstheme="majorBidi"/>
                <w:color w:val="000000"/>
                <w:sz w:val="16"/>
                <w:szCs w:val="16"/>
              </w:rPr>
              <w:t>-88,2</w:t>
            </w:r>
          </w:p>
        </w:tc>
        <w:tc>
          <w:tcPr>
            <w:tcW w:w="0" w:type="auto"/>
            <w:tcBorders>
              <w:top w:val="nil"/>
              <w:left w:val="nil"/>
              <w:bottom w:val="single" w:sz="4" w:space="0" w:color="auto"/>
              <w:right w:val="single" w:sz="4" w:space="0" w:color="auto"/>
            </w:tcBorders>
            <w:shd w:val="clear" w:color="auto" w:fill="auto"/>
            <w:vAlign w:val="center"/>
            <w:hideMark/>
          </w:tcPr>
          <w:p w:rsidR="00352124" w:rsidRPr="00BD4B00" w:rsidRDefault="00352124" w:rsidP="00BD4B00">
            <w:pPr>
              <w:widowControl/>
              <w:autoSpaceDE/>
              <w:autoSpaceDN/>
              <w:adjustRightInd/>
              <w:spacing w:line="360" w:lineRule="auto"/>
              <w:jc w:val="center"/>
              <w:rPr>
                <w:rFonts w:asciiTheme="majorBidi" w:hAnsiTheme="majorBidi" w:cstheme="majorBidi"/>
                <w:color w:val="000000"/>
                <w:sz w:val="16"/>
                <w:szCs w:val="16"/>
              </w:rPr>
            </w:pPr>
            <w:r w:rsidRPr="00BD4B00">
              <w:rPr>
                <w:rFonts w:asciiTheme="majorBidi" w:hAnsiTheme="majorBidi" w:cstheme="majorBidi"/>
                <w:color w:val="000000"/>
                <w:sz w:val="16"/>
                <w:szCs w:val="16"/>
              </w:rPr>
              <w:t>-86,7</w:t>
            </w:r>
          </w:p>
        </w:tc>
        <w:tc>
          <w:tcPr>
            <w:tcW w:w="0" w:type="auto"/>
            <w:tcBorders>
              <w:top w:val="nil"/>
              <w:left w:val="nil"/>
              <w:bottom w:val="single" w:sz="4" w:space="0" w:color="auto"/>
              <w:right w:val="single" w:sz="4" w:space="0" w:color="auto"/>
            </w:tcBorders>
            <w:shd w:val="clear" w:color="auto" w:fill="auto"/>
            <w:vAlign w:val="center"/>
            <w:hideMark/>
          </w:tcPr>
          <w:p w:rsidR="00352124" w:rsidRPr="00BD4B00" w:rsidRDefault="00352124" w:rsidP="00BD4B00">
            <w:pPr>
              <w:widowControl/>
              <w:autoSpaceDE/>
              <w:autoSpaceDN/>
              <w:adjustRightInd/>
              <w:spacing w:line="360" w:lineRule="auto"/>
              <w:jc w:val="center"/>
              <w:rPr>
                <w:rFonts w:asciiTheme="majorBidi" w:hAnsiTheme="majorBidi" w:cstheme="majorBidi"/>
                <w:color w:val="000000"/>
                <w:sz w:val="16"/>
                <w:szCs w:val="16"/>
              </w:rPr>
            </w:pPr>
            <w:r w:rsidRPr="00BD4B00">
              <w:rPr>
                <w:rFonts w:asciiTheme="majorBidi" w:hAnsiTheme="majorBidi" w:cstheme="majorBidi"/>
                <w:color w:val="000000"/>
                <w:sz w:val="16"/>
                <w:szCs w:val="16"/>
              </w:rPr>
              <w:t>-88,5</w:t>
            </w:r>
          </w:p>
        </w:tc>
        <w:tc>
          <w:tcPr>
            <w:tcW w:w="0" w:type="auto"/>
            <w:tcBorders>
              <w:top w:val="nil"/>
              <w:left w:val="nil"/>
              <w:bottom w:val="single" w:sz="4" w:space="0" w:color="auto"/>
              <w:right w:val="single" w:sz="4" w:space="0" w:color="auto"/>
            </w:tcBorders>
            <w:shd w:val="clear" w:color="auto" w:fill="auto"/>
            <w:vAlign w:val="center"/>
            <w:hideMark/>
          </w:tcPr>
          <w:p w:rsidR="00352124" w:rsidRPr="00BD4B00" w:rsidRDefault="00352124" w:rsidP="00BD4B00">
            <w:pPr>
              <w:widowControl/>
              <w:autoSpaceDE/>
              <w:autoSpaceDN/>
              <w:adjustRightInd/>
              <w:spacing w:line="360" w:lineRule="auto"/>
              <w:jc w:val="center"/>
              <w:rPr>
                <w:rFonts w:asciiTheme="majorBidi" w:hAnsiTheme="majorBidi" w:cstheme="majorBidi"/>
                <w:color w:val="000000"/>
                <w:sz w:val="16"/>
                <w:szCs w:val="16"/>
              </w:rPr>
            </w:pPr>
            <w:r w:rsidRPr="00BD4B00">
              <w:rPr>
                <w:rFonts w:asciiTheme="majorBidi" w:hAnsiTheme="majorBidi" w:cstheme="majorBidi"/>
                <w:color w:val="000000"/>
                <w:sz w:val="16"/>
                <w:szCs w:val="16"/>
              </w:rPr>
              <w:t>-82,8</w:t>
            </w:r>
          </w:p>
        </w:tc>
        <w:tc>
          <w:tcPr>
            <w:tcW w:w="0" w:type="auto"/>
            <w:tcBorders>
              <w:top w:val="nil"/>
              <w:left w:val="nil"/>
              <w:bottom w:val="single" w:sz="4" w:space="0" w:color="auto"/>
              <w:right w:val="single" w:sz="4" w:space="0" w:color="auto"/>
            </w:tcBorders>
            <w:shd w:val="clear" w:color="auto" w:fill="auto"/>
            <w:vAlign w:val="center"/>
            <w:hideMark/>
          </w:tcPr>
          <w:p w:rsidR="00352124" w:rsidRPr="00BD4B00" w:rsidRDefault="00352124" w:rsidP="00BD4B00">
            <w:pPr>
              <w:widowControl/>
              <w:autoSpaceDE/>
              <w:autoSpaceDN/>
              <w:adjustRightInd/>
              <w:spacing w:line="360" w:lineRule="auto"/>
              <w:jc w:val="center"/>
              <w:rPr>
                <w:rFonts w:asciiTheme="majorBidi" w:hAnsiTheme="majorBidi" w:cstheme="majorBidi"/>
                <w:color w:val="000000"/>
                <w:sz w:val="16"/>
                <w:szCs w:val="16"/>
              </w:rPr>
            </w:pPr>
            <w:r w:rsidRPr="00BD4B00">
              <w:rPr>
                <w:rFonts w:asciiTheme="majorBidi" w:hAnsiTheme="majorBidi" w:cstheme="majorBidi"/>
                <w:color w:val="000000"/>
                <w:sz w:val="16"/>
                <w:szCs w:val="16"/>
              </w:rPr>
              <w:t>-86,4</w:t>
            </w:r>
          </w:p>
        </w:tc>
        <w:tc>
          <w:tcPr>
            <w:tcW w:w="0" w:type="auto"/>
            <w:tcBorders>
              <w:top w:val="nil"/>
              <w:left w:val="nil"/>
              <w:bottom w:val="single" w:sz="4" w:space="0" w:color="auto"/>
              <w:right w:val="single" w:sz="4" w:space="0" w:color="auto"/>
            </w:tcBorders>
            <w:shd w:val="clear" w:color="auto" w:fill="auto"/>
            <w:vAlign w:val="center"/>
            <w:hideMark/>
          </w:tcPr>
          <w:p w:rsidR="00352124" w:rsidRPr="00BD4B00" w:rsidRDefault="00352124" w:rsidP="00BD4B00">
            <w:pPr>
              <w:widowControl/>
              <w:autoSpaceDE/>
              <w:autoSpaceDN/>
              <w:adjustRightInd/>
              <w:spacing w:line="360" w:lineRule="auto"/>
              <w:jc w:val="center"/>
              <w:rPr>
                <w:rFonts w:asciiTheme="majorBidi" w:hAnsiTheme="majorBidi" w:cstheme="majorBidi"/>
                <w:color w:val="000000"/>
                <w:sz w:val="16"/>
                <w:szCs w:val="16"/>
              </w:rPr>
            </w:pPr>
            <w:r w:rsidRPr="00BD4B00">
              <w:rPr>
                <w:rFonts w:asciiTheme="majorBidi" w:hAnsiTheme="majorBidi" w:cstheme="majorBidi"/>
                <w:color w:val="000000"/>
                <w:sz w:val="16"/>
                <w:szCs w:val="16"/>
              </w:rPr>
              <w:t>-86,8</w:t>
            </w:r>
          </w:p>
        </w:tc>
        <w:tc>
          <w:tcPr>
            <w:tcW w:w="0" w:type="auto"/>
            <w:tcBorders>
              <w:top w:val="nil"/>
              <w:left w:val="nil"/>
              <w:bottom w:val="single" w:sz="4" w:space="0" w:color="auto"/>
              <w:right w:val="single" w:sz="4" w:space="0" w:color="auto"/>
            </w:tcBorders>
            <w:shd w:val="clear" w:color="auto" w:fill="auto"/>
            <w:vAlign w:val="center"/>
            <w:hideMark/>
          </w:tcPr>
          <w:p w:rsidR="00352124" w:rsidRPr="00BD4B00" w:rsidRDefault="00352124" w:rsidP="00BD4B00">
            <w:pPr>
              <w:widowControl/>
              <w:autoSpaceDE/>
              <w:autoSpaceDN/>
              <w:adjustRightInd/>
              <w:spacing w:line="360" w:lineRule="auto"/>
              <w:jc w:val="center"/>
              <w:rPr>
                <w:rFonts w:asciiTheme="majorBidi" w:hAnsiTheme="majorBidi" w:cstheme="majorBidi"/>
                <w:color w:val="000000"/>
                <w:sz w:val="16"/>
                <w:szCs w:val="16"/>
              </w:rPr>
            </w:pPr>
            <w:r w:rsidRPr="00BD4B00">
              <w:rPr>
                <w:rFonts w:asciiTheme="majorBidi" w:hAnsiTheme="majorBidi" w:cstheme="majorBidi"/>
                <w:color w:val="000000"/>
                <w:sz w:val="16"/>
                <w:szCs w:val="16"/>
              </w:rPr>
              <w:t>-87,3</w:t>
            </w:r>
          </w:p>
        </w:tc>
        <w:tc>
          <w:tcPr>
            <w:tcW w:w="0" w:type="auto"/>
            <w:tcBorders>
              <w:top w:val="nil"/>
              <w:left w:val="nil"/>
              <w:bottom w:val="single" w:sz="4" w:space="0" w:color="auto"/>
              <w:right w:val="single" w:sz="4" w:space="0" w:color="auto"/>
            </w:tcBorders>
            <w:shd w:val="clear" w:color="auto" w:fill="auto"/>
            <w:vAlign w:val="center"/>
            <w:hideMark/>
          </w:tcPr>
          <w:p w:rsidR="00352124" w:rsidRPr="00BD4B00" w:rsidRDefault="00352124" w:rsidP="00BD4B00">
            <w:pPr>
              <w:widowControl/>
              <w:autoSpaceDE/>
              <w:autoSpaceDN/>
              <w:adjustRightInd/>
              <w:spacing w:line="360" w:lineRule="auto"/>
              <w:jc w:val="center"/>
              <w:rPr>
                <w:rFonts w:asciiTheme="majorBidi" w:hAnsiTheme="majorBidi" w:cstheme="majorBidi"/>
                <w:color w:val="000000"/>
                <w:sz w:val="16"/>
                <w:szCs w:val="16"/>
              </w:rPr>
            </w:pPr>
            <w:r w:rsidRPr="00BD4B00">
              <w:rPr>
                <w:rFonts w:asciiTheme="majorBidi" w:hAnsiTheme="majorBidi" w:cstheme="majorBidi"/>
                <w:color w:val="000000"/>
                <w:sz w:val="16"/>
                <w:szCs w:val="16"/>
              </w:rPr>
              <w:t>-87,7</w:t>
            </w:r>
          </w:p>
        </w:tc>
        <w:tc>
          <w:tcPr>
            <w:tcW w:w="0" w:type="auto"/>
            <w:tcBorders>
              <w:top w:val="nil"/>
              <w:left w:val="nil"/>
              <w:bottom w:val="single" w:sz="4" w:space="0" w:color="auto"/>
              <w:right w:val="single" w:sz="4" w:space="0" w:color="auto"/>
            </w:tcBorders>
            <w:shd w:val="clear" w:color="auto" w:fill="auto"/>
            <w:vAlign w:val="center"/>
            <w:hideMark/>
          </w:tcPr>
          <w:p w:rsidR="00352124" w:rsidRPr="00BD4B00" w:rsidRDefault="00352124" w:rsidP="00BD4B00">
            <w:pPr>
              <w:widowControl/>
              <w:autoSpaceDE/>
              <w:autoSpaceDN/>
              <w:adjustRightInd/>
              <w:spacing w:line="360" w:lineRule="auto"/>
              <w:jc w:val="center"/>
              <w:rPr>
                <w:rFonts w:asciiTheme="majorBidi" w:hAnsiTheme="majorBidi" w:cstheme="majorBidi"/>
                <w:color w:val="000000"/>
                <w:sz w:val="16"/>
                <w:szCs w:val="16"/>
              </w:rPr>
            </w:pPr>
            <w:r w:rsidRPr="00BD4B00">
              <w:rPr>
                <w:rFonts w:asciiTheme="majorBidi" w:hAnsiTheme="majorBidi" w:cstheme="majorBidi"/>
                <w:color w:val="000000"/>
                <w:sz w:val="16"/>
                <w:szCs w:val="16"/>
              </w:rPr>
              <w:t>-87,9</w:t>
            </w:r>
          </w:p>
        </w:tc>
        <w:tc>
          <w:tcPr>
            <w:tcW w:w="0" w:type="auto"/>
            <w:tcBorders>
              <w:top w:val="nil"/>
              <w:left w:val="nil"/>
              <w:bottom w:val="single" w:sz="4" w:space="0" w:color="auto"/>
              <w:right w:val="single" w:sz="4" w:space="0" w:color="auto"/>
            </w:tcBorders>
            <w:shd w:val="clear" w:color="auto" w:fill="auto"/>
            <w:vAlign w:val="center"/>
            <w:hideMark/>
          </w:tcPr>
          <w:p w:rsidR="00352124" w:rsidRPr="00BD4B00" w:rsidRDefault="00352124" w:rsidP="00BD4B00">
            <w:pPr>
              <w:widowControl/>
              <w:autoSpaceDE/>
              <w:autoSpaceDN/>
              <w:adjustRightInd/>
              <w:spacing w:line="360" w:lineRule="auto"/>
              <w:jc w:val="center"/>
              <w:rPr>
                <w:rFonts w:asciiTheme="majorBidi" w:hAnsiTheme="majorBidi" w:cstheme="majorBidi"/>
                <w:color w:val="000000"/>
                <w:sz w:val="16"/>
                <w:szCs w:val="16"/>
              </w:rPr>
            </w:pPr>
            <w:r w:rsidRPr="00BD4B00">
              <w:rPr>
                <w:rFonts w:asciiTheme="majorBidi" w:hAnsiTheme="majorBidi" w:cstheme="majorBidi"/>
                <w:color w:val="000000"/>
                <w:sz w:val="16"/>
                <w:szCs w:val="16"/>
              </w:rPr>
              <w:t>-85,5</w:t>
            </w:r>
          </w:p>
        </w:tc>
        <w:tc>
          <w:tcPr>
            <w:tcW w:w="0" w:type="auto"/>
            <w:tcBorders>
              <w:top w:val="nil"/>
              <w:left w:val="nil"/>
              <w:bottom w:val="single" w:sz="4" w:space="0" w:color="auto"/>
              <w:right w:val="single" w:sz="4" w:space="0" w:color="auto"/>
            </w:tcBorders>
            <w:shd w:val="clear" w:color="auto" w:fill="auto"/>
            <w:vAlign w:val="center"/>
            <w:hideMark/>
          </w:tcPr>
          <w:p w:rsidR="00352124" w:rsidRPr="00BD4B00" w:rsidRDefault="00352124" w:rsidP="00BD4B00">
            <w:pPr>
              <w:widowControl/>
              <w:autoSpaceDE/>
              <w:autoSpaceDN/>
              <w:bidi/>
              <w:adjustRightInd/>
              <w:spacing w:line="360" w:lineRule="auto"/>
              <w:rPr>
                <w:rFonts w:asciiTheme="majorBidi" w:hAnsiTheme="majorBidi" w:cstheme="majorBidi"/>
                <w:b/>
                <w:bCs/>
                <w:color w:val="000000"/>
                <w:sz w:val="16"/>
                <w:szCs w:val="16"/>
              </w:rPr>
            </w:pPr>
            <w:r w:rsidRPr="00BD4B00">
              <w:rPr>
                <w:rFonts w:asciiTheme="majorBidi" w:hAnsiTheme="majorBidi" w:cstheme="majorBidi"/>
                <w:b/>
                <w:bCs/>
                <w:color w:val="000000"/>
                <w:sz w:val="16"/>
                <w:szCs w:val="16"/>
                <w:rtl/>
              </w:rPr>
              <w:t>التطور السابق لأسعار المواد الغذائية</w:t>
            </w:r>
          </w:p>
        </w:tc>
      </w:tr>
      <w:tr w:rsidR="00696211" w:rsidRPr="00BD4B00" w:rsidTr="00BD4B00">
        <w:trPr>
          <w:trHeight w:val="774"/>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352124" w:rsidRPr="00BD4B00" w:rsidRDefault="00352124" w:rsidP="00BD4B00">
            <w:pPr>
              <w:widowControl/>
              <w:autoSpaceDE/>
              <w:autoSpaceDN/>
              <w:adjustRightInd/>
              <w:spacing w:line="360" w:lineRule="auto"/>
              <w:jc w:val="center"/>
              <w:rPr>
                <w:rFonts w:asciiTheme="majorBidi" w:hAnsiTheme="majorBidi" w:cstheme="majorBidi"/>
                <w:color w:val="000000"/>
                <w:sz w:val="16"/>
                <w:szCs w:val="16"/>
              </w:rPr>
            </w:pPr>
            <w:r w:rsidRPr="00BD4B00">
              <w:rPr>
                <w:rFonts w:asciiTheme="majorBidi" w:hAnsiTheme="majorBidi" w:cstheme="majorBidi"/>
                <w:color w:val="000000"/>
                <w:sz w:val="16"/>
                <w:szCs w:val="16"/>
              </w:rPr>
              <w:t>-</w:t>
            </w:r>
            <w:r w:rsidR="00474052" w:rsidRPr="00BD4B00">
              <w:rPr>
                <w:rFonts w:asciiTheme="majorBidi" w:hAnsiTheme="majorBidi" w:cstheme="majorBidi"/>
                <w:color w:val="000000"/>
                <w:sz w:val="16"/>
                <w:szCs w:val="16"/>
                <w:rtl/>
              </w:rPr>
              <w:t>77,8</w:t>
            </w:r>
          </w:p>
        </w:tc>
        <w:tc>
          <w:tcPr>
            <w:tcW w:w="590" w:type="dxa"/>
            <w:tcBorders>
              <w:top w:val="nil"/>
              <w:left w:val="nil"/>
              <w:bottom w:val="single" w:sz="4" w:space="0" w:color="auto"/>
              <w:right w:val="single" w:sz="4" w:space="0" w:color="auto"/>
            </w:tcBorders>
            <w:shd w:val="clear" w:color="auto" w:fill="auto"/>
            <w:vAlign w:val="center"/>
            <w:hideMark/>
          </w:tcPr>
          <w:p w:rsidR="00352124" w:rsidRPr="00BD4B00" w:rsidRDefault="00352124" w:rsidP="00BD4B00">
            <w:pPr>
              <w:widowControl/>
              <w:autoSpaceDE/>
              <w:autoSpaceDN/>
              <w:adjustRightInd/>
              <w:spacing w:line="360" w:lineRule="auto"/>
              <w:jc w:val="center"/>
              <w:rPr>
                <w:rFonts w:asciiTheme="majorBidi" w:hAnsiTheme="majorBidi" w:cstheme="majorBidi"/>
                <w:color w:val="000000"/>
                <w:sz w:val="16"/>
                <w:szCs w:val="16"/>
              </w:rPr>
            </w:pPr>
            <w:r w:rsidRPr="00BD4B00">
              <w:rPr>
                <w:rFonts w:asciiTheme="majorBidi" w:hAnsiTheme="majorBidi" w:cstheme="majorBidi"/>
                <w:color w:val="000000"/>
                <w:sz w:val="16"/>
                <w:szCs w:val="16"/>
              </w:rPr>
              <w:t>-78,0</w:t>
            </w:r>
          </w:p>
        </w:tc>
        <w:tc>
          <w:tcPr>
            <w:tcW w:w="0" w:type="auto"/>
            <w:tcBorders>
              <w:top w:val="nil"/>
              <w:left w:val="nil"/>
              <w:bottom w:val="single" w:sz="4" w:space="0" w:color="auto"/>
              <w:right w:val="single" w:sz="4" w:space="0" w:color="auto"/>
            </w:tcBorders>
            <w:shd w:val="clear" w:color="auto" w:fill="auto"/>
            <w:vAlign w:val="center"/>
            <w:hideMark/>
          </w:tcPr>
          <w:p w:rsidR="00352124" w:rsidRPr="00BD4B00" w:rsidRDefault="00352124" w:rsidP="00BD4B00">
            <w:pPr>
              <w:widowControl/>
              <w:autoSpaceDE/>
              <w:autoSpaceDN/>
              <w:adjustRightInd/>
              <w:spacing w:line="360" w:lineRule="auto"/>
              <w:jc w:val="center"/>
              <w:rPr>
                <w:rFonts w:asciiTheme="majorBidi" w:hAnsiTheme="majorBidi" w:cstheme="majorBidi"/>
                <w:color w:val="000000"/>
                <w:sz w:val="16"/>
                <w:szCs w:val="16"/>
              </w:rPr>
            </w:pPr>
            <w:r w:rsidRPr="00BD4B00">
              <w:rPr>
                <w:rFonts w:asciiTheme="majorBidi" w:hAnsiTheme="majorBidi" w:cstheme="majorBidi"/>
                <w:color w:val="000000"/>
                <w:sz w:val="16"/>
                <w:szCs w:val="16"/>
              </w:rPr>
              <w:t>-77,3</w:t>
            </w:r>
          </w:p>
        </w:tc>
        <w:tc>
          <w:tcPr>
            <w:tcW w:w="0" w:type="auto"/>
            <w:tcBorders>
              <w:top w:val="nil"/>
              <w:left w:val="nil"/>
              <w:bottom w:val="single" w:sz="4" w:space="0" w:color="auto"/>
              <w:right w:val="single" w:sz="4" w:space="0" w:color="auto"/>
            </w:tcBorders>
            <w:shd w:val="clear" w:color="auto" w:fill="auto"/>
            <w:vAlign w:val="center"/>
            <w:hideMark/>
          </w:tcPr>
          <w:p w:rsidR="00352124" w:rsidRPr="00BD4B00" w:rsidRDefault="00352124" w:rsidP="00BD4B00">
            <w:pPr>
              <w:widowControl/>
              <w:autoSpaceDE/>
              <w:autoSpaceDN/>
              <w:adjustRightInd/>
              <w:spacing w:line="360" w:lineRule="auto"/>
              <w:jc w:val="center"/>
              <w:rPr>
                <w:rFonts w:asciiTheme="majorBidi" w:hAnsiTheme="majorBidi" w:cstheme="majorBidi"/>
                <w:color w:val="000000"/>
                <w:sz w:val="16"/>
                <w:szCs w:val="16"/>
              </w:rPr>
            </w:pPr>
            <w:r w:rsidRPr="00BD4B00">
              <w:rPr>
                <w:rFonts w:asciiTheme="majorBidi" w:hAnsiTheme="majorBidi" w:cstheme="majorBidi"/>
                <w:color w:val="000000"/>
                <w:sz w:val="16"/>
                <w:szCs w:val="16"/>
              </w:rPr>
              <w:t>-72,2</w:t>
            </w:r>
          </w:p>
        </w:tc>
        <w:tc>
          <w:tcPr>
            <w:tcW w:w="0" w:type="auto"/>
            <w:tcBorders>
              <w:top w:val="nil"/>
              <w:left w:val="nil"/>
              <w:bottom w:val="single" w:sz="4" w:space="0" w:color="auto"/>
              <w:right w:val="single" w:sz="4" w:space="0" w:color="auto"/>
            </w:tcBorders>
            <w:shd w:val="clear" w:color="auto" w:fill="auto"/>
            <w:vAlign w:val="center"/>
            <w:hideMark/>
          </w:tcPr>
          <w:p w:rsidR="00352124" w:rsidRPr="00BD4B00" w:rsidRDefault="00352124" w:rsidP="00BD4B00">
            <w:pPr>
              <w:widowControl/>
              <w:autoSpaceDE/>
              <w:autoSpaceDN/>
              <w:adjustRightInd/>
              <w:spacing w:line="360" w:lineRule="auto"/>
              <w:jc w:val="center"/>
              <w:rPr>
                <w:rFonts w:asciiTheme="majorBidi" w:hAnsiTheme="majorBidi" w:cstheme="majorBidi"/>
                <w:color w:val="000000"/>
                <w:sz w:val="16"/>
                <w:szCs w:val="16"/>
              </w:rPr>
            </w:pPr>
            <w:r w:rsidRPr="00BD4B00">
              <w:rPr>
                <w:rFonts w:asciiTheme="majorBidi" w:hAnsiTheme="majorBidi" w:cstheme="majorBidi"/>
                <w:color w:val="000000"/>
                <w:sz w:val="16"/>
                <w:szCs w:val="16"/>
              </w:rPr>
              <w:t>-69,5</w:t>
            </w:r>
          </w:p>
        </w:tc>
        <w:tc>
          <w:tcPr>
            <w:tcW w:w="0" w:type="auto"/>
            <w:tcBorders>
              <w:top w:val="nil"/>
              <w:left w:val="nil"/>
              <w:bottom w:val="single" w:sz="4" w:space="0" w:color="auto"/>
              <w:right w:val="single" w:sz="4" w:space="0" w:color="auto"/>
            </w:tcBorders>
            <w:shd w:val="clear" w:color="auto" w:fill="auto"/>
            <w:vAlign w:val="center"/>
            <w:hideMark/>
          </w:tcPr>
          <w:p w:rsidR="00352124" w:rsidRPr="00BD4B00" w:rsidRDefault="00352124" w:rsidP="00BD4B00">
            <w:pPr>
              <w:widowControl/>
              <w:autoSpaceDE/>
              <w:autoSpaceDN/>
              <w:adjustRightInd/>
              <w:spacing w:line="360" w:lineRule="auto"/>
              <w:jc w:val="center"/>
              <w:rPr>
                <w:rFonts w:asciiTheme="majorBidi" w:hAnsiTheme="majorBidi" w:cstheme="majorBidi"/>
                <w:color w:val="000000"/>
                <w:sz w:val="16"/>
                <w:szCs w:val="16"/>
              </w:rPr>
            </w:pPr>
            <w:r w:rsidRPr="00BD4B00">
              <w:rPr>
                <w:rFonts w:asciiTheme="majorBidi" w:hAnsiTheme="majorBidi" w:cstheme="majorBidi"/>
                <w:color w:val="000000"/>
                <w:sz w:val="16"/>
                <w:szCs w:val="16"/>
              </w:rPr>
              <w:t>-70,4</w:t>
            </w:r>
          </w:p>
        </w:tc>
        <w:tc>
          <w:tcPr>
            <w:tcW w:w="0" w:type="auto"/>
            <w:tcBorders>
              <w:top w:val="nil"/>
              <w:left w:val="nil"/>
              <w:bottom w:val="single" w:sz="4" w:space="0" w:color="auto"/>
              <w:right w:val="single" w:sz="4" w:space="0" w:color="auto"/>
            </w:tcBorders>
            <w:shd w:val="clear" w:color="auto" w:fill="auto"/>
            <w:vAlign w:val="center"/>
            <w:hideMark/>
          </w:tcPr>
          <w:p w:rsidR="00352124" w:rsidRPr="00BD4B00" w:rsidRDefault="00352124" w:rsidP="00BD4B00">
            <w:pPr>
              <w:widowControl/>
              <w:autoSpaceDE/>
              <w:autoSpaceDN/>
              <w:adjustRightInd/>
              <w:spacing w:line="360" w:lineRule="auto"/>
              <w:jc w:val="center"/>
              <w:rPr>
                <w:rFonts w:asciiTheme="majorBidi" w:hAnsiTheme="majorBidi" w:cstheme="majorBidi"/>
                <w:color w:val="000000"/>
                <w:sz w:val="16"/>
                <w:szCs w:val="16"/>
              </w:rPr>
            </w:pPr>
            <w:r w:rsidRPr="00BD4B00">
              <w:rPr>
                <w:rFonts w:asciiTheme="majorBidi" w:hAnsiTheme="majorBidi" w:cstheme="majorBidi"/>
                <w:color w:val="000000"/>
                <w:sz w:val="16"/>
                <w:szCs w:val="16"/>
              </w:rPr>
              <w:t>-67,2</w:t>
            </w:r>
          </w:p>
        </w:tc>
        <w:tc>
          <w:tcPr>
            <w:tcW w:w="0" w:type="auto"/>
            <w:tcBorders>
              <w:top w:val="nil"/>
              <w:left w:val="nil"/>
              <w:bottom w:val="single" w:sz="4" w:space="0" w:color="auto"/>
              <w:right w:val="single" w:sz="4" w:space="0" w:color="auto"/>
            </w:tcBorders>
            <w:shd w:val="clear" w:color="auto" w:fill="auto"/>
            <w:vAlign w:val="center"/>
            <w:hideMark/>
          </w:tcPr>
          <w:p w:rsidR="00352124" w:rsidRPr="00BD4B00" w:rsidRDefault="00352124" w:rsidP="00BD4B00">
            <w:pPr>
              <w:widowControl/>
              <w:autoSpaceDE/>
              <w:autoSpaceDN/>
              <w:adjustRightInd/>
              <w:spacing w:line="360" w:lineRule="auto"/>
              <w:jc w:val="center"/>
              <w:rPr>
                <w:rFonts w:asciiTheme="majorBidi" w:hAnsiTheme="majorBidi" w:cstheme="majorBidi"/>
                <w:color w:val="000000"/>
                <w:sz w:val="16"/>
                <w:szCs w:val="16"/>
              </w:rPr>
            </w:pPr>
            <w:r w:rsidRPr="00BD4B00">
              <w:rPr>
                <w:rFonts w:asciiTheme="majorBidi" w:hAnsiTheme="majorBidi" w:cstheme="majorBidi"/>
                <w:color w:val="000000"/>
                <w:sz w:val="16"/>
                <w:szCs w:val="16"/>
              </w:rPr>
              <w:t>-60,8</w:t>
            </w:r>
          </w:p>
        </w:tc>
        <w:tc>
          <w:tcPr>
            <w:tcW w:w="0" w:type="auto"/>
            <w:tcBorders>
              <w:top w:val="nil"/>
              <w:left w:val="nil"/>
              <w:bottom w:val="single" w:sz="4" w:space="0" w:color="auto"/>
              <w:right w:val="single" w:sz="4" w:space="0" w:color="auto"/>
            </w:tcBorders>
            <w:shd w:val="clear" w:color="auto" w:fill="auto"/>
            <w:vAlign w:val="center"/>
            <w:hideMark/>
          </w:tcPr>
          <w:p w:rsidR="00352124" w:rsidRPr="00BD4B00" w:rsidRDefault="00352124" w:rsidP="00BD4B00">
            <w:pPr>
              <w:widowControl/>
              <w:autoSpaceDE/>
              <w:autoSpaceDN/>
              <w:adjustRightInd/>
              <w:spacing w:line="360" w:lineRule="auto"/>
              <w:jc w:val="center"/>
              <w:rPr>
                <w:rFonts w:asciiTheme="majorBidi" w:hAnsiTheme="majorBidi" w:cstheme="majorBidi"/>
                <w:color w:val="000000"/>
                <w:sz w:val="16"/>
                <w:szCs w:val="16"/>
              </w:rPr>
            </w:pPr>
            <w:r w:rsidRPr="00BD4B00">
              <w:rPr>
                <w:rFonts w:asciiTheme="majorBidi" w:hAnsiTheme="majorBidi" w:cstheme="majorBidi"/>
                <w:color w:val="000000"/>
                <w:sz w:val="16"/>
                <w:szCs w:val="16"/>
              </w:rPr>
              <w:t>-65,8</w:t>
            </w:r>
          </w:p>
        </w:tc>
        <w:tc>
          <w:tcPr>
            <w:tcW w:w="0" w:type="auto"/>
            <w:tcBorders>
              <w:top w:val="nil"/>
              <w:left w:val="nil"/>
              <w:bottom w:val="single" w:sz="4" w:space="0" w:color="auto"/>
              <w:right w:val="single" w:sz="4" w:space="0" w:color="auto"/>
            </w:tcBorders>
            <w:shd w:val="clear" w:color="auto" w:fill="auto"/>
            <w:vAlign w:val="center"/>
            <w:hideMark/>
          </w:tcPr>
          <w:p w:rsidR="00352124" w:rsidRPr="00BD4B00" w:rsidRDefault="00352124" w:rsidP="00BD4B00">
            <w:pPr>
              <w:widowControl/>
              <w:autoSpaceDE/>
              <w:autoSpaceDN/>
              <w:adjustRightInd/>
              <w:spacing w:line="360" w:lineRule="auto"/>
              <w:jc w:val="center"/>
              <w:rPr>
                <w:rFonts w:asciiTheme="majorBidi" w:hAnsiTheme="majorBidi" w:cstheme="majorBidi"/>
                <w:color w:val="000000"/>
                <w:sz w:val="16"/>
                <w:szCs w:val="16"/>
              </w:rPr>
            </w:pPr>
            <w:r w:rsidRPr="00BD4B00">
              <w:rPr>
                <w:rFonts w:asciiTheme="majorBidi" w:hAnsiTheme="majorBidi" w:cstheme="majorBidi"/>
                <w:color w:val="000000"/>
                <w:sz w:val="16"/>
                <w:szCs w:val="16"/>
              </w:rPr>
              <w:t>-75,1</w:t>
            </w:r>
          </w:p>
        </w:tc>
        <w:tc>
          <w:tcPr>
            <w:tcW w:w="0" w:type="auto"/>
            <w:tcBorders>
              <w:top w:val="nil"/>
              <w:left w:val="nil"/>
              <w:bottom w:val="single" w:sz="4" w:space="0" w:color="auto"/>
              <w:right w:val="single" w:sz="4" w:space="0" w:color="auto"/>
            </w:tcBorders>
            <w:shd w:val="clear" w:color="auto" w:fill="auto"/>
            <w:vAlign w:val="center"/>
            <w:hideMark/>
          </w:tcPr>
          <w:p w:rsidR="00352124" w:rsidRPr="00BD4B00" w:rsidRDefault="00352124" w:rsidP="00BD4B00">
            <w:pPr>
              <w:widowControl/>
              <w:autoSpaceDE/>
              <w:autoSpaceDN/>
              <w:adjustRightInd/>
              <w:spacing w:line="360" w:lineRule="auto"/>
              <w:jc w:val="center"/>
              <w:rPr>
                <w:rFonts w:asciiTheme="majorBidi" w:hAnsiTheme="majorBidi" w:cstheme="majorBidi"/>
                <w:color w:val="000000"/>
                <w:sz w:val="16"/>
                <w:szCs w:val="16"/>
              </w:rPr>
            </w:pPr>
            <w:r w:rsidRPr="00BD4B00">
              <w:rPr>
                <w:rFonts w:asciiTheme="majorBidi" w:hAnsiTheme="majorBidi" w:cstheme="majorBidi"/>
                <w:color w:val="000000"/>
                <w:sz w:val="16"/>
                <w:szCs w:val="16"/>
              </w:rPr>
              <w:t>-70,4</w:t>
            </w:r>
          </w:p>
        </w:tc>
        <w:tc>
          <w:tcPr>
            <w:tcW w:w="0" w:type="auto"/>
            <w:tcBorders>
              <w:top w:val="nil"/>
              <w:left w:val="nil"/>
              <w:bottom w:val="single" w:sz="4" w:space="0" w:color="auto"/>
              <w:right w:val="single" w:sz="4" w:space="0" w:color="auto"/>
            </w:tcBorders>
            <w:shd w:val="clear" w:color="auto" w:fill="auto"/>
            <w:vAlign w:val="center"/>
            <w:hideMark/>
          </w:tcPr>
          <w:p w:rsidR="00352124" w:rsidRPr="00BD4B00" w:rsidRDefault="00352124" w:rsidP="00BD4B00">
            <w:pPr>
              <w:widowControl/>
              <w:autoSpaceDE/>
              <w:autoSpaceDN/>
              <w:adjustRightInd/>
              <w:spacing w:line="360" w:lineRule="auto"/>
              <w:jc w:val="center"/>
              <w:rPr>
                <w:rFonts w:asciiTheme="majorBidi" w:hAnsiTheme="majorBidi" w:cstheme="majorBidi"/>
                <w:color w:val="000000"/>
                <w:sz w:val="16"/>
                <w:szCs w:val="16"/>
              </w:rPr>
            </w:pPr>
            <w:r w:rsidRPr="00BD4B00">
              <w:rPr>
                <w:rFonts w:asciiTheme="majorBidi" w:hAnsiTheme="majorBidi" w:cstheme="majorBidi"/>
                <w:color w:val="000000"/>
                <w:sz w:val="16"/>
                <w:szCs w:val="16"/>
              </w:rPr>
              <w:t>-65,8</w:t>
            </w:r>
          </w:p>
        </w:tc>
        <w:tc>
          <w:tcPr>
            <w:tcW w:w="0" w:type="auto"/>
            <w:tcBorders>
              <w:top w:val="nil"/>
              <w:left w:val="nil"/>
              <w:bottom w:val="single" w:sz="4" w:space="0" w:color="auto"/>
              <w:right w:val="single" w:sz="4" w:space="0" w:color="auto"/>
            </w:tcBorders>
            <w:shd w:val="clear" w:color="auto" w:fill="auto"/>
            <w:vAlign w:val="center"/>
            <w:hideMark/>
          </w:tcPr>
          <w:p w:rsidR="00352124" w:rsidRPr="00BD4B00" w:rsidRDefault="00352124" w:rsidP="00BD4B00">
            <w:pPr>
              <w:widowControl/>
              <w:autoSpaceDE/>
              <w:autoSpaceDN/>
              <w:adjustRightInd/>
              <w:spacing w:line="360" w:lineRule="auto"/>
              <w:jc w:val="center"/>
              <w:rPr>
                <w:rFonts w:asciiTheme="majorBidi" w:hAnsiTheme="majorBidi" w:cstheme="majorBidi"/>
                <w:color w:val="000000"/>
                <w:sz w:val="16"/>
                <w:szCs w:val="16"/>
              </w:rPr>
            </w:pPr>
            <w:r w:rsidRPr="00BD4B00">
              <w:rPr>
                <w:rFonts w:asciiTheme="majorBidi" w:hAnsiTheme="majorBidi" w:cstheme="majorBidi"/>
                <w:color w:val="000000"/>
                <w:sz w:val="16"/>
                <w:szCs w:val="16"/>
              </w:rPr>
              <w:t>-64,6</w:t>
            </w:r>
          </w:p>
        </w:tc>
        <w:tc>
          <w:tcPr>
            <w:tcW w:w="0" w:type="auto"/>
            <w:tcBorders>
              <w:top w:val="nil"/>
              <w:left w:val="nil"/>
              <w:bottom w:val="single" w:sz="4" w:space="0" w:color="auto"/>
              <w:right w:val="single" w:sz="4" w:space="0" w:color="auto"/>
            </w:tcBorders>
            <w:shd w:val="clear" w:color="auto" w:fill="auto"/>
            <w:vAlign w:val="center"/>
            <w:hideMark/>
          </w:tcPr>
          <w:p w:rsidR="00352124" w:rsidRPr="00BD4B00" w:rsidRDefault="00352124" w:rsidP="00BD4B00">
            <w:pPr>
              <w:widowControl/>
              <w:autoSpaceDE/>
              <w:autoSpaceDN/>
              <w:adjustRightInd/>
              <w:spacing w:line="360" w:lineRule="auto"/>
              <w:jc w:val="center"/>
              <w:rPr>
                <w:rFonts w:asciiTheme="majorBidi" w:hAnsiTheme="majorBidi" w:cstheme="majorBidi"/>
                <w:color w:val="000000"/>
                <w:sz w:val="16"/>
                <w:szCs w:val="16"/>
              </w:rPr>
            </w:pPr>
            <w:r w:rsidRPr="00BD4B00">
              <w:rPr>
                <w:rFonts w:asciiTheme="majorBidi" w:hAnsiTheme="majorBidi" w:cstheme="majorBidi"/>
                <w:color w:val="000000"/>
                <w:sz w:val="16"/>
                <w:szCs w:val="16"/>
              </w:rPr>
              <w:t>-64,4</w:t>
            </w:r>
          </w:p>
        </w:tc>
        <w:tc>
          <w:tcPr>
            <w:tcW w:w="0" w:type="auto"/>
            <w:tcBorders>
              <w:top w:val="nil"/>
              <w:left w:val="nil"/>
              <w:bottom w:val="single" w:sz="4" w:space="0" w:color="auto"/>
              <w:right w:val="single" w:sz="4" w:space="0" w:color="auto"/>
            </w:tcBorders>
            <w:shd w:val="clear" w:color="auto" w:fill="auto"/>
            <w:vAlign w:val="center"/>
            <w:hideMark/>
          </w:tcPr>
          <w:p w:rsidR="00352124" w:rsidRPr="00BD4B00" w:rsidRDefault="00352124" w:rsidP="00BD4B00">
            <w:pPr>
              <w:widowControl/>
              <w:autoSpaceDE/>
              <w:autoSpaceDN/>
              <w:adjustRightInd/>
              <w:spacing w:line="360" w:lineRule="auto"/>
              <w:jc w:val="center"/>
              <w:rPr>
                <w:rFonts w:asciiTheme="majorBidi" w:hAnsiTheme="majorBidi" w:cstheme="majorBidi"/>
                <w:color w:val="000000"/>
                <w:sz w:val="16"/>
                <w:szCs w:val="16"/>
              </w:rPr>
            </w:pPr>
            <w:r w:rsidRPr="00BD4B00">
              <w:rPr>
                <w:rFonts w:asciiTheme="majorBidi" w:hAnsiTheme="majorBidi" w:cstheme="majorBidi"/>
                <w:color w:val="000000"/>
                <w:sz w:val="16"/>
                <w:szCs w:val="16"/>
              </w:rPr>
              <w:t>-66,6</w:t>
            </w:r>
          </w:p>
        </w:tc>
        <w:tc>
          <w:tcPr>
            <w:tcW w:w="0" w:type="auto"/>
            <w:tcBorders>
              <w:top w:val="nil"/>
              <w:left w:val="nil"/>
              <w:bottom w:val="single" w:sz="4" w:space="0" w:color="auto"/>
              <w:right w:val="single" w:sz="4" w:space="0" w:color="auto"/>
            </w:tcBorders>
            <w:shd w:val="clear" w:color="auto" w:fill="auto"/>
            <w:vAlign w:val="center"/>
            <w:hideMark/>
          </w:tcPr>
          <w:p w:rsidR="00352124" w:rsidRPr="00BD4B00" w:rsidRDefault="00352124" w:rsidP="00BD4B00">
            <w:pPr>
              <w:widowControl/>
              <w:autoSpaceDE/>
              <w:autoSpaceDN/>
              <w:adjustRightInd/>
              <w:spacing w:line="360" w:lineRule="auto"/>
              <w:jc w:val="center"/>
              <w:rPr>
                <w:rFonts w:asciiTheme="majorBidi" w:hAnsiTheme="majorBidi" w:cstheme="majorBidi"/>
                <w:color w:val="000000"/>
                <w:sz w:val="16"/>
                <w:szCs w:val="16"/>
              </w:rPr>
            </w:pPr>
            <w:r w:rsidRPr="00BD4B00">
              <w:rPr>
                <w:rFonts w:asciiTheme="majorBidi" w:hAnsiTheme="majorBidi" w:cstheme="majorBidi"/>
                <w:color w:val="000000"/>
                <w:sz w:val="16"/>
                <w:szCs w:val="16"/>
              </w:rPr>
              <w:t>-63</w:t>
            </w:r>
          </w:p>
        </w:tc>
        <w:tc>
          <w:tcPr>
            <w:tcW w:w="0" w:type="auto"/>
            <w:tcBorders>
              <w:top w:val="nil"/>
              <w:left w:val="nil"/>
              <w:bottom w:val="single" w:sz="4" w:space="0" w:color="auto"/>
              <w:right w:val="single" w:sz="4" w:space="0" w:color="auto"/>
            </w:tcBorders>
            <w:shd w:val="clear" w:color="auto" w:fill="auto"/>
            <w:vAlign w:val="center"/>
            <w:hideMark/>
          </w:tcPr>
          <w:p w:rsidR="00352124" w:rsidRPr="00BD4B00" w:rsidRDefault="00352124" w:rsidP="00BD4B00">
            <w:pPr>
              <w:widowControl/>
              <w:autoSpaceDE/>
              <w:autoSpaceDN/>
              <w:adjustRightInd/>
              <w:spacing w:line="360" w:lineRule="auto"/>
              <w:jc w:val="center"/>
              <w:rPr>
                <w:rFonts w:asciiTheme="majorBidi" w:hAnsiTheme="majorBidi" w:cstheme="majorBidi"/>
                <w:color w:val="000000"/>
                <w:sz w:val="16"/>
                <w:szCs w:val="16"/>
              </w:rPr>
            </w:pPr>
            <w:r w:rsidRPr="00BD4B00">
              <w:rPr>
                <w:rFonts w:asciiTheme="majorBidi" w:hAnsiTheme="majorBidi" w:cstheme="majorBidi"/>
                <w:color w:val="000000"/>
                <w:sz w:val="16"/>
                <w:szCs w:val="16"/>
              </w:rPr>
              <w:t>-63</w:t>
            </w:r>
          </w:p>
        </w:tc>
        <w:tc>
          <w:tcPr>
            <w:tcW w:w="0" w:type="auto"/>
            <w:tcBorders>
              <w:top w:val="nil"/>
              <w:left w:val="nil"/>
              <w:bottom w:val="single" w:sz="4" w:space="0" w:color="auto"/>
              <w:right w:val="single" w:sz="4" w:space="0" w:color="auto"/>
            </w:tcBorders>
            <w:shd w:val="clear" w:color="auto" w:fill="auto"/>
            <w:vAlign w:val="center"/>
            <w:hideMark/>
          </w:tcPr>
          <w:p w:rsidR="00352124" w:rsidRPr="00BD4B00" w:rsidRDefault="00352124" w:rsidP="00BD4B00">
            <w:pPr>
              <w:widowControl/>
              <w:autoSpaceDE/>
              <w:autoSpaceDN/>
              <w:adjustRightInd/>
              <w:spacing w:line="360" w:lineRule="auto"/>
              <w:jc w:val="center"/>
              <w:rPr>
                <w:rFonts w:asciiTheme="majorBidi" w:hAnsiTheme="majorBidi" w:cstheme="majorBidi"/>
                <w:color w:val="000000"/>
                <w:sz w:val="16"/>
                <w:szCs w:val="16"/>
              </w:rPr>
            </w:pPr>
            <w:r w:rsidRPr="00BD4B00">
              <w:rPr>
                <w:rFonts w:asciiTheme="majorBidi" w:hAnsiTheme="majorBidi" w:cstheme="majorBidi"/>
                <w:color w:val="000000"/>
                <w:sz w:val="16"/>
                <w:szCs w:val="16"/>
              </w:rPr>
              <w:t>-64,6</w:t>
            </w:r>
          </w:p>
        </w:tc>
        <w:tc>
          <w:tcPr>
            <w:tcW w:w="0" w:type="auto"/>
            <w:tcBorders>
              <w:top w:val="nil"/>
              <w:left w:val="nil"/>
              <w:bottom w:val="single" w:sz="4" w:space="0" w:color="auto"/>
              <w:right w:val="single" w:sz="4" w:space="0" w:color="auto"/>
            </w:tcBorders>
            <w:shd w:val="clear" w:color="auto" w:fill="auto"/>
            <w:vAlign w:val="center"/>
            <w:hideMark/>
          </w:tcPr>
          <w:p w:rsidR="00352124" w:rsidRPr="00BD4B00" w:rsidRDefault="00352124" w:rsidP="00BD4B00">
            <w:pPr>
              <w:widowControl/>
              <w:autoSpaceDE/>
              <w:autoSpaceDN/>
              <w:adjustRightInd/>
              <w:spacing w:line="360" w:lineRule="auto"/>
              <w:jc w:val="center"/>
              <w:rPr>
                <w:rFonts w:asciiTheme="majorBidi" w:hAnsiTheme="majorBidi" w:cstheme="majorBidi"/>
                <w:color w:val="000000"/>
                <w:sz w:val="16"/>
                <w:szCs w:val="16"/>
              </w:rPr>
            </w:pPr>
            <w:r w:rsidRPr="00BD4B00">
              <w:rPr>
                <w:rFonts w:asciiTheme="majorBidi" w:hAnsiTheme="majorBidi" w:cstheme="majorBidi"/>
                <w:color w:val="000000"/>
                <w:sz w:val="16"/>
                <w:szCs w:val="16"/>
              </w:rPr>
              <w:t>-57,9</w:t>
            </w:r>
          </w:p>
        </w:tc>
        <w:tc>
          <w:tcPr>
            <w:tcW w:w="0" w:type="auto"/>
            <w:tcBorders>
              <w:top w:val="nil"/>
              <w:left w:val="nil"/>
              <w:bottom w:val="single" w:sz="4" w:space="0" w:color="auto"/>
              <w:right w:val="single" w:sz="4" w:space="0" w:color="auto"/>
            </w:tcBorders>
            <w:shd w:val="clear" w:color="auto" w:fill="auto"/>
            <w:vAlign w:val="center"/>
            <w:hideMark/>
          </w:tcPr>
          <w:p w:rsidR="00352124" w:rsidRPr="00BD4B00" w:rsidRDefault="00352124" w:rsidP="00BD4B00">
            <w:pPr>
              <w:widowControl/>
              <w:autoSpaceDE/>
              <w:autoSpaceDN/>
              <w:adjustRightInd/>
              <w:spacing w:line="360" w:lineRule="auto"/>
              <w:jc w:val="center"/>
              <w:rPr>
                <w:rFonts w:asciiTheme="majorBidi" w:hAnsiTheme="majorBidi" w:cstheme="majorBidi"/>
                <w:color w:val="000000"/>
                <w:sz w:val="16"/>
                <w:szCs w:val="16"/>
              </w:rPr>
            </w:pPr>
            <w:r w:rsidRPr="00BD4B00">
              <w:rPr>
                <w:rFonts w:asciiTheme="majorBidi" w:hAnsiTheme="majorBidi" w:cstheme="majorBidi"/>
                <w:color w:val="000000"/>
                <w:sz w:val="16"/>
                <w:szCs w:val="16"/>
              </w:rPr>
              <w:t>-54,5</w:t>
            </w:r>
          </w:p>
        </w:tc>
        <w:tc>
          <w:tcPr>
            <w:tcW w:w="0" w:type="auto"/>
            <w:tcBorders>
              <w:top w:val="nil"/>
              <w:left w:val="nil"/>
              <w:bottom w:val="single" w:sz="4" w:space="0" w:color="auto"/>
              <w:right w:val="single" w:sz="4" w:space="0" w:color="auto"/>
            </w:tcBorders>
            <w:shd w:val="clear" w:color="auto" w:fill="auto"/>
            <w:vAlign w:val="center"/>
            <w:hideMark/>
          </w:tcPr>
          <w:p w:rsidR="00352124" w:rsidRPr="00BD4B00" w:rsidRDefault="00352124" w:rsidP="00BD4B00">
            <w:pPr>
              <w:widowControl/>
              <w:autoSpaceDE/>
              <w:autoSpaceDN/>
              <w:adjustRightInd/>
              <w:spacing w:line="360" w:lineRule="auto"/>
              <w:jc w:val="center"/>
              <w:rPr>
                <w:rFonts w:asciiTheme="majorBidi" w:hAnsiTheme="majorBidi" w:cstheme="majorBidi"/>
                <w:color w:val="000000"/>
                <w:sz w:val="16"/>
                <w:szCs w:val="16"/>
              </w:rPr>
            </w:pPr>
            <w:r w:rsidRPr="00BD4B00">
              <w:rPr>
                <w:rFonts w:asciiTheme="majorBidi" w:hAnsiTheme="majorBidi" w:cstheme="majorBidi"/>
                <w:color w:val="000000"/>
                <w:sz w:val="16"/>
                <w:szCs w:val="16"/>
              </w:rPr>
              <w:t>-58,6</w:t>
            </w:r>
          </w:p>
        </w:tc>
        <w:tc>
          <w:tcPr>
            <w:tcW w:w="0" w:type="auto"/>
            <w:tcBorders>
              <w:top w:val="nil"/>
              <w:left w:val="nil"/>
              <w:bottom w:val="single" w:sz="4" w:space="0" w:color="auto"/>
              <w:right w:val="single" w:sz="4" w:space="0" w:color="auto"/>
            </w:tcBorders>
            <w:shd w:val="clear" w:color="auto" w:fill="auto"/>
            <w:vAlign w:val="center"/>
            <w:hideMark/>
          </w:tcPr>
          <w:p w:rsidR="00352124" w:rsidRPr="00BD4B00" w:rsidRDefault="00352124" w:rsidP="00BD4B00">
            <w:pPr>
              <w:widowControl/>
              <w:autoSpaceDE/>
              <w:autoSpaceDN/>
              <w:adjustRightInd/>
              <w:spacing w:line="360" w:lineRule="auto"/>
              <w:jc w:val="center"/>
              <w:rPr>
                <w:rFonts w:asciiTheme="majorBidi" w:hAnsiTheme="majorBidi" w:cstheme="majorBidi"/>
                <w:color w:val="000000"/>
                <w:sz w:val="16"/>
                <w:szCs w:val="16"/>
              </w:rPr>
            </w:pPr>
            <w:r w:rsidRPr="00BD4B00">
              <w:rPr>
                <w:rFonts w:asciiTheme="majorBidi" w:hAnsiTheme="majorBidi" w:cstheme="majorBidi"/>
                <w:color w:val="000000"/>
                <w:sz w:val="16"/>
                <w:szCs w:val="16"/>
              </w:rPr>
              <w:t>-55,7</w:t>
            </w:r>
          </w:p>
        </w:tc>
        <w:tc>
          <w:tcPr>
            <w:tcW w:w="0" w:type="auto"/>
            <w:tcBorders>
              <w:top w:val="nil"/>
              <w:left w:val="nil"/>
              <w:bottom w:val="single" w:sz="4" w:space="0" w:color="auto"/>
              <w:right w:val="single" w:sz="4" w:space="0" w:color="auto"/>
            </w:tcBorders>
            <w:shd w:val="clear" w:color="auto" w:fill="auto"/>
            <w:vAlign w:val="center"/>
            <w:hideMark/>
          </w:tcPr>
          <w:p w:rsidR="00352124" w:rsidRPr="00BD4B00" w:rsidRDefault="00352124" w:rsidP="00BD4B00">
            <w:pPr>
              <w:widowControl/>
              <w:autoSpaceDE/>
              <w:autoSpaceDN/>
              <w:adjustRightInd/>
              <w:spacing w:line="360" w:lineRule="auto"/>
              <w:jc w:val="center"/>
              <w:rPr>
                <w:rFonts w:asciiTheme="majorBidi" w:hAnsiTheme="majorBidi" w:cstheme="majorBidi"/>
                <w:color w:val="000000"/>
                <w:sz w:val="16"/>
                <w:szCs w:val="16"/>
              </w:rPr>
            </w:pPr>
            <w:r w:rsidRPr="00BD4B00">
              <w:rPr>
                <w:rFonts w:asciiTheme="majorBidi" w:hAnsiTheme="majorBidi" w:cstheme="majorBidi"/>
                <w:color w:val="000000"/>
                <w:sz w:val="16"/>
                <w:szCs w:val="16"/>
              </w:rPr>
              <w:t>-59,1</w:t>
            </w:r>
          </w:p>
        </w:tc>
        <w:tc>
          <w:tcPr>
            <w:tcW w:w="0" w:type="auto"/>
            <w:tcBorders>
              <w:top w:val="nil"/>
              <w:left w:val="nil"/>
              <w:bottom w:val="single" w:sz="4" w:space="0" w:color="auto"/>
              <w:right w:val="single" w:sz="4" w:space="0" w:color="auto"/>
            </w:tcBorders>
            <w:shd w:val="clear" w:color="auto" w:fill="auto"/>
            <w:vAlign w:val="center"/>
            <w:hideMark/>
          </w:tcPr>
          <w:p w:rsidR="00352124" w:rsidRPr="00BD4B00" w:rsidRDefault="00352124" w:rsidP="00BD4B00">
            <w:pPr>
              <w:widowControl/>
              <w:autoSpaceDE/>
              <w:autoSpaceDN/>
              <w:adjustRightInd/>
              <w:spacing w:line="360" w:lineRule="auto"/>
              <w:jc w:val="center"/>
              <w:rPr>
                <w:rFonts w:asciiTheme="majorBidi" w:hAnsiTheme="majorBidi" w:cstheme="majorBidi"/>
                <w:color w:val="000000"/>
                <w:sz w:val="16"/>
                <w:szCs w:val="16"/>
              </w:rPr>
            </w:pPr>
            <w:r w:rsidRPr="00BD4B00">
              <w:rPr>
                <w:rFonts w:asciiTheme="majorBidi" w:hAnsiTheme="majorBidi" w:cstheme="majorBidi"/>
                <w:color w:val="000000"/>
                <w:sz w:val="16"/>
                <w:szCs w:val="16"/>
              </w:rPr>
              <w:t>-64,1</w:t>
            </w:r>
          </w:p>
        </w:tc>
        <w:tc>
          <w:tcPr>
            <w:tcW w:w="0" w:type="auto"/>
            <w:tcBorders>
              <w:top w:val="nil"/>
              <w:left w:val="nil"/>
              <w:bottom w:val="single" w:sz="4" w:space="0" w:color="auto"/>
              <w:right w:val="single" w:sz="4" w:space="0" w:color="auto"/>
            </w:tcBorders>
            <w:shd w:val="clear" w:color="auto" w:fill="auto"/>
            <w:vAlign w:val="center"/>
            <w:hideMark/>
          </w:tcPr>
          <w:p w:rsidR="00352124" w:rsidRPr="00BD4B00" w:rsidRDefault="00352124" w:rsidP="00BD4B00">
            <w:pPr>
              <w:widowControl/>
              <w:autoSpaceDE/>
              <w:autoSpaceDN/>
              <w:adjustRightInd/>
              <w:spacing w:line="360" w:lineRule="auto"/>
              <w:jc w:val="center"/>
              <w:rPr>
                <w:rFonts w:asciiTheme="majorBidi" w:hAnsiTheme="majorBidi" w:cstheme="majorBidi"/>
                <w:color w:val="000000"/>
                <w:sz w:val="16"/>
                <w:szCs w:val="16"/>
              </w:rPr>
            </w:pPr>
            <w:r w:rsidRPr="00BD4B00">
              <w:rPr>
                <w:rFonts w:asciiTheme="majorBidi" w:hAnsiTheme="majorBidi" w:cstheme="majorBidi"/>
                <w:color w:val="000000"/>
                <w:sz w:val="16"/>
                <w:szCs w:val="16"/>
              </w:rPr>
              <w:t>-68,7</w:t>
            </w:r>
          </w:p>
        </w:tc>
        <w:tc>
          <w:tcPr>
            <w:tcW w:w="0" w:type="auto"/>
            <w:tcBorders>
              <w:top w:val="nil"/>
              <w:left w:val="nil"/>
              <w:bottom w:val="single" w:sz="4" w:space="0" w:color="auto"/>
              <w:right w:val="single" w:sz="4" w:space="0" w:color="auto"/>
            </w:tcBorders>
            <w:shd w:val="clear" w:color="auto" w:fill="auto"/>
            <w:vAlign w:val="center"/>
            <w:hideMark/>
          </w:tcPr>
          <w:p w:rsidR="00352124" w:rsidRPr="00BD4B00" w:rsidRDefault="00352124" w:rsidP="00BD4B00">
            <w:pPr>
              <w:widowControl/>
              <w:autoSpaceDE/>
              <w:autoSpaceDN/>
              <w:adjustRightInd/>
              <w:spacing w:line="360" w:lineRule="auto"/>
              <w:jc w:val="center"/>
              <w:rPr>
                <w:rFonts w:asciiTheme="majorBidi" w:hAnsiTheme="majorBidi" w:cstheme="majorBidi"/>
                <w:color w:val="000000"/>
                <w:sz w:val="16"/>
                <w:szCs w:val="16"/>
              </w:rPr>
            </w:pPr>
            <w:r w:rsidRPr="00BD4B00">
              <w:rPr>
                <w:rFonts w:asciiTheme="majorBidi" w:hAnsiTheme="majorBidi" w:cstheme="majorBidi"/>
                <w:color w:val="000000"/>
                <w:sz w:val="16"/>
                <w:szCs w:val="16"/>
              </w:rPr>
              <w:t>-67,9</w:t>
            </w:r>
          </w:p>
        </w:tc>
        <w:tc>
          <w:tcPr>
            <w:tcW w:w="0" w:type="auto"/>
            <w:tcBorders>
              <w:top w:val="nil"/>
              <w:left w:val="nil"/>
              <w:bottom w:val="single" w:sz="4" w:space="0" w:color="auto"/>
              <w:right w:val="single" w:sz="4" w:space="0" w:color="auto"/>
            </w:tcBorders>
            <w:shd w:val="clear" w:color="auto" w:fill="auto"/>
            <w:vAlign w:val="center"/>
            <w:hideMark/>
          </w:tcPr>
          <w:p w:rsidR="00352124" w:rsidRPr="00BD4B00" w:rsidRDefault="00352124" w:rsidP="00BD4B00">
            <w:pPr>
              <w:widowControl/>
              <w:autoSpaceDE/>
              <w:autoSpaceDN/>
              <w:adjustRightInd/>
              <w:spacing w:line="360" w:lineRule="auto"/>
              <w:jc w:val="center"/>
              <w:rPr>
                <w:rFonts w:asciiTheme="majorBidi" w:hAnsiTheme="majorBidi" w:cstheme="majorBidi"/>
                <w:color w:val="000000"/>
                <w:sz w:val="16"/>
                <w:szCs w:val="16"/>
              </w:rPr>
            </w:pPr>
            <w:r w:rsidRPr="00BD4B00">
              <w:rPr>
                <w:rFonts w:asciiTheme="majorBidi" w:hAnsiTheme="majorBidi" w:cstheme="majorBidi"/>
                <w:color w:val="000000"/>
                <w:sz w:val="16"/>
                <w:szCs w:val="16"/>
              </w:rPr>
              <w:t>-66,6</w:t>
            </w:r>
          </w:p>
        </w:tc>
        <w:tc>
          <w:tcPr>
            <w:tcW w:w="0" w:type="auto"/>
            <w:tcBorders>
              <w:top w:val="nil"/>
              <w:left w:val="nil"/>
              <w:bottom w:val="single" w:sz="4" w:space="0" w:color="auto"/>
              <w:right w:val="single" w:sz="4" w:space="0" w:color="auto"/>
            </w:tcBorders>
            <w:shd w:val="clear" w:color="auto" w:fill="auto"/>
            <w:vAlign w:val="center"/>
            <w:hideMark/>
          </w:tcPr>
          <w:p w:rsidR="00352124" w:rsidRPr="00BD4B00" w:rsidRDefault="00352124" w:rsidP="00BD4B00">
            <w:pPr>
              <w:widowControl/>
              <w:autoSpaceDE/>
              <w:autoSpaceDN/>
              <w:adjustRightInd/>
              <w:spacing w:line="360" w:lineRule="auto"/>
              <w:jc w:val="center"/>
              <w:rPr>
                <w:rFonts w:asciiTheme="majorBidi" w:hAnsiTheme="majorBidi" w:cstheme="majorBidi"/>
                <w:color w:val="000000"/>
                <w:sz w:val="16"/>
                <w:szCs w:val="16"/>
              </w:rPr>
            </w:pPr>
            <w:r w:rsidRPr="00BD4B00">
              <w:rPr>
                <w:rFonts w:asciiTheme="majorBidi" w:hAnsiTheme="majorBidi" w:cstheme="majorBidi"/>
                <w:color w:val="000000"/>
                <w:sz w:val="16"/>
                <w:szCs w:val="16"/>
              </w:rPr>
              <w:t>-69,7</w:t>
            </w:r>
          </w:p>
        </w:tc>
        <w:tc>
          <w:tcPr>
            <w:tcW w:w="0" w:type="auto"/>
            <w:tcBorders>
              <w:top w:val="nil"/>
              <w:left w:val="nil"/>
              <w:bottom w:val="single" w:sz="4" w:space="0" w:color="auto"/>
              <w:right w:val="single" w:sz="4" w:space="0" w:color="auto"/>
            </w:tcBorders>
            <w:shd w:val="clear" w:color="auto" w:fill="auto"/>
            <w:vAlign w:val="center"/>
            <w:hideMark/>
          </w:tcPr>
          <w:p w:rsidR="00352124" w:rsidRPr="00BD4B00" w:rsidRDefault="00352124" w:rsidP="00BD4B00">
            <w:pPr>
              <w:widowControl/>
              <w:autoSpaceDE/>
              <w:autoSpaceDN/>
              <w:bidi/>
              <w:adjustRightInd/>
              <w:spacing w:line="360" w:lineRule="auto"/>
              <w:rPr>
                <w:rFonts w:asciiTheme="majorBidi" w:hAnsiTheme="majorBidi" w:cstheme="majorBidi"/>
                <w:b/>
                <w:bCs/>
                <w:color w:val="000000"/>
                <w:sz w:val="16"/>
                <w:szCs w:val="16"/>
              </w:rPr>
            </w:pPr>
            <w:r w:rsidRPr="00BD4B00">
              <w:rPr>
                <w:rFonts w:asciiTheme="majorBidi" w:hAnsiTheme="majorBidi" w:cstheme="majorBidi"/>
                <w:b/>
                <w:bCs/>
                <w:color w:val="000000"/>
                <w:sz w:val="16"/>
                <w:szCs w:val="16"/>
                <w:rtl/>
              </w:rPr>
              <w:t>قدرة الأسر على الادخار خلال الأشهر المقبلة</w:t>
            </w:r>
          </w:p>
        </w:tc>
      </w:tr>
    </w:tbl>
    <w:p w:rsidR="00B51E40" w:rsidRPr="00BD4B00" w:rsidRDefault="00B51E40" w:rsidP="00BD4B00">
      <w:pPr>
        <w:tabs>
          <w:tab w:val="left" w:pos="1834"/>
        </w:tabs>
        <w:bidi/>
        <w:spacing w:line="360" w:lineRule="auto"/>
        <w:rPr>
          <w:rFonts w:asciiTheme="majorBidi" w:hAnsiTheme="majorBidi" w:cstheme="majorBidi"/>
          <w:lang w:val="fr-MA" w:bidi="ar-MA"/>
        </w:rPr>
      </w:pPr>
    </w:p>
    <w:sectPr w:rsidR="00B51E40" w:rsidRPr="00BD4B00" w:rsidSect="00E335F4">
      <w:pgSz w:w="16838" w:h="11906" w:orient="landscape"/>
      <w:pgMar w:top="284" w:right="720" w:bottom="720" w:left="720"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4727E" w:rsidRDefault="0004727E" w:rsidP="00FB5154">
      <w:r>
        <w:separator/>
      </w:r>
    </w:p>
  </w:endnote>
  <w:endnote w:type="continuationSeparator" w:id="1">
    <w:p w:rsidR="0004727E" w:rsidRDefault="0004727E" w:rsidP="00FB5154">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C54D7" w:rsidRDefault="00CA5B6C">
    <w:pPr>
      <w:pStyle w:val="Pieddepage"/>
      <w:jc w:val="center"/>
    </w:pPr>
    <w:fldSimple w:instr=" PAGE   \* MERGEFORMAT ">
      <w:r w:rsidR="00475CA4">
        <w:rPr>
          <w:noProof/>
        </w:rPr>
        <w:t>6</w:t>
      </w:r>
    </w:fldSimple>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4727E" w:rsidRDefault="0004727E" w:rsidP="00FB5154">
      <w:r>
        <w:separator/>
      </w:r>
    </w:p>
  </w:footnote>
  <w:footnote w:type="continuationSeparator" w:id="1">
    <w:p w:rsidR="0004727E" w:rsidRDefault="0004727E" w:rsidP="00FB5154">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706FEE"/>
    <w:multiLevelType w:val="hybridMultilevel"/>
    <w:tmpl w:val="D5B400E4"/>
    <w:lvl w:ilvl="0" w:tplc="3B72FCD0">
      <w:start w:val="1"/>
      <w:numFmt w:val="bullet"/>
      <w:lvlText w:val=""/>
      <w:lvlJc w:val="left"/>
      <w:pPr>
        <w:ind w:left="502" w:hanging="360"/>
      </w:pPr>
      <w:rPr>
        <w:rFonts w:ascii="Symbol" w:hAnsi="Symbol" w:hint="default"/>
        <w:b w:val="0"/>
        <w:bCs w:val="0"/>
      </w:rPr>
    </w:lvl>
    <w:lvl w:ilvl="1" w:tplc="040C0001">
      <w:start w:val="1"/>
      <w:numFmt w:val="bullet"/>
      <w:lvlText w:val=""/>
      <w:lvlJc w:val="left"/>
      <w:pPr>
        <w:ind w:left="1582" w:hanging="360"/>
      </w:pPr>
      <w:rPr>
        <w:rFonts w:ascii="Symbol" w:hAnsi="Symbol" w:hint="default"/>
      </w:rPr>
    </w:lvl>
    <w:lvl w:ilvl="2" w:tplc="040C0005">
      <w:start w:val="1"/>
      <w:numFmt w:val="bullet"/>
      <w:lvlText w:val=""/>
      <w:lvlJc w:val="left"/>
      <w:pPr>
        <w:ind w:left="2302" w:hanging="360"/>
      </w:pPr>
      <w:rPr>
        <w:rFonts w:ascii="Wingdings" w:hAnsi="Wingdings" w:hint="default"/>
      </w:rPr>
    </w:lvl>
    <w:lvl w:ilvl="3" w:tplc="040C0001">
      <w:start w:val="1"/>
      <w:numFmt w:val="bullet"/>
      <w:lvlText w:val=""/>
      <w:lvlJc w:val="left"/>
      <w:pPr>
        <w:ind w:left="3022" w:hanging="360"/>
      </w:pPr>
      <w:rPr>
        <w:rFonts w:ascii="Symbol" w:hAnsi="Symbol" w:hint="default"/>
      </w:rPr>
    </w:lvl>
    <w:lvl w:ilvl="4" w:tplc="040C0003" w:tentative="1">
      <w:start w:val="1"/>
      <w:numFmt w:val="bullet"/>
      <w:lvlText w:val="o"/>
      <w:lvlJc w:val="left"/>
      <w:pPr>
        <w:ind w:left="3742" w:hanging="360"/>
      </w:pPr>
      <w:rPr>
        <w:rFonts w:ascii="Courier New" w:hAnsi="Courier New" w:cs="Courier New" w:hint="default"/>
      </w:rPr>
    </w:lvl>
    <w:lvl w:ilvl="5" w:tplc="040C0005" w:tentative="1">
      <w:start w:val="1"/>
      <w:numFmt w:val="bullet"/>
      <w:lvlText w:val=""/>
      <w:lvlJc w:val="left"/>
      <w:pPr>
        <w:ind w:left="4462" w:hanging="360"/>
      </w:pPr>
      <w:rPr>
        <w:rFonts w:ascii="Wingdings" w:hAnsi="Wingdings" w:hint="default"/>
      </w:rPr>
    </w:lvl>
    <w:lvl w:ilvl="6" w:tplc="040C0001" w:tentative="1">
      <w:start w:val="1"/>
      <w:numFmt w:val="bullet"/>
      <w:lvlText w:val=""/>
      <w:lvlJc w:val="left"/>
      <w:pPr>
        <w:ind w:left="5182" w:hanging="360"/>
      </w:pPr>
      <w:rPr>
        <w:rFonts w:ascii="Symbol" w:hAnsi="Symbol" w:hint="default"/>
      </w:rPr>
    </w:lvl>
    <w:lvl w:ilvl="7" w:tplc="040C0003" w:tentative="1">
      <w:start w:val="1"/>
      <w:numFmt w:val="bullet"/>
      <w:lvlText w:val="o"/>
      <w:lvlJc w:val="left"/>
      <w:pPr>
        <w:ind w:left="5902" w:hanging="360"/>
      </w:pPr>
      <w:rPr>
        <w:rFonts w:ascii="Courier New" w:hAnsi="Courier New" w:cs="Courier New" w:hint="default"/>
      </w:rPr>
    </w:lvl>
    <w:lvl w:ilvl="8" w:tplc="040C0005" w:tentative="1">
      <w:start w:val="1"/>
      <w:numFmt w:val="bullet"/>
      <w:lvlText w:val=""/>
      <w:lvlJc w:val="left"/>
      <w:pPr>
        <w:ind w:left="6622" w:hanging="360"/>
      </w:pPr>
      <w:rPr>
        <w:rFonts w:ascii="Wingdings" w:hAnsi="Wingdings" w:hint="default"/>
      </w:rPr>
    </w:lvl>
  </w:abstractNum>
  <w:abstractNum w:abstractNumId="1">
    <w:nsid w:val="018B50F6"/>
    <w:multiLevelType w:val="hybridMultilevel"/>
    <w:tmpl w:val="7B2834A4"/>
    <w:lvl w:ilvl="0" w:tplc="040C0001">
      <w:start w:val="1"/>
      <w:numFmt w:val="bullet"/>
      <w:lvlText w:val=""/>
      <w:lvlJc w:val="left"/>
      <w:pPr>
        <w:ind w:left="1080" w:hanging="360"/>
      </w:pPr>
      <w:rPr>
        <w:rFonts w:ascii="Symbol" w:hAnsi="Symbol"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2">
    <w:nsid w:val="2CE7449C"/>
    <w:multiLevelType w:val="hybridMultilevel"/>
    <w:tmpl w:val="F3EE99E2"/>
    <w:lvl w:ilvl="0" w:tplc="040C000F">
      <w:start w:val="1"/>
      <w:numFmt w:val="decimal"/>
      <w:lvlText w:val="%1."/>
      <w:lvlJc w:val="left"/>
      <w:pPr>
        <w:ind w:left="502"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
    <w:nsid w:val="2ED84B97"/>
    <w:multiLevelType w:val="hybridMultilevel"/>
    <w:tmpl w:val="6054135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nsid w:val="410352B3"/>
    <w:multiLevelType w:val="hybridMultilevel"/>
    <w:tmpl w:val="835265B6"/>
    <w:lvl w:ilvl="0" w:tplc="64BC1742">
      <w:start w:val="1"/>
      <w:numFmt w:val="decimal"/>
      <w:lvlText w:val="(%1)"/>
      <w:lvlJc w:val="left"/>
      <w:pPr>
        <w:ind w:left="785" w:hanging="360"/>
      </w:pPr>
      <w:rPr>
        <w:rFonts w:ascii="Times New Roman" w:hAnsi="Times New Roman" w:hint="default"/>
        <w:sz w:val="28"/>
      </w:rPr>
    </w:lvl>
    <w:lvl w:ilvl="1" w:tplc="040C0019" w:tentative="1">
      <w:start w:val="1"/>
      <w:numFmt w:val="lowerLetter"/>
      <w:lvlText w:val="%2."/>
      <w:lvlJc w:val="left"/>
      <w:pPr>
        <w:ind w:left="1505" w:hanging="360"/>
      </w:pPr>
    </w:lvl>
    <w:lvl w:ilvl="2" w:tplc="040C001B" w:tentative="1">
      <w:start w:val="1"/>
      <w:numFmt w:val="lowerRoman"/>
      <w:lvlText w:val="%3."/>
      <w:lvlJc w:val="right"/>
      <w:pPr>
        <w:ind w:left="2225" w:hanging="180"/>
      </w:pPr>
    </w:lvl>
    <w:lvl w:ilvl="3" w:tplc="040C000F" w:tentative="1">
      <w:start w:val="1"/>
      <w:numFmt w:val="decimal"/>
      <w:lvlText w:val="%4."/>
      <w:lvlJc w:val="left"/>
      <w:pPr>
        <w:ind w:left="2945" w:hanging="360"/>
      </w:pPr>
    </w:lvl>
    <w:lvl w:ilvl="4" w:tplc="040C0019" w:tentative="1">
      <w:start w:val="1"/>
      <w:numFmt w:val="lowerLetter"/>
      <w:lvlText w:val="%5."/>
      <w:lvlJc w:val="left"/>
      <w:pPr>
        <w:ind w:left="3665" w:hanging="360"/>
      </w:pPr>
    </w:lvl>
    <w:lvl w:ilvl="5" w:tplc="040C001B" w:tentative="1">
      <w:start w:val="1"/>
      <w:numFmt w:val="lowerRoman"/>
      <w:lvlText w:val="%6."/>
      <w:lvlJc w:val="right"/>
      <w:pPr>
        <w:ind w:left="4385" w:hanging="180"/>
      </w:pPr>
    </w:lvl>
    <w:lvl w:ilvl="6" w:tplc="040C000F" w:tentative="1">
      <w:start w:val="1"/>
      <w:numFmt w:val="decimal"/>
      <w:lvlText w:val="%7."/>
      <w:lvlJc w:val="left"/>
      <w:pPr>
        <w:ind w:left="5105" w:hanging="360"/>
      </w:pPr>
    </w:lvl>
    <w:lvl w:ilvl="7" w:tplc="040C0019" w:tentative="1">
      <w:start w:val="1"/>
      <w:numFmt w:val="lowerLetter"/>
      <w:lvlText w:val="%8."/>
      <w:lvlJc w:val="left"/>
      <w:pPr>
        <w:ind w:left="5825" w:hanging="360"/>
      </w:pPr>
    </w:lvl>
    <w:lvl w:ilvl="8" w:tplc="040C001B" w:tentative="1">
      <w:start w:val="1"/>
      <w:numFmt w:val="lowerRoman"/>
      <w:lvlText w:val="%9."/>
      <w:lvlJc w:val="right"/>
      <w:pPr>
        <w:ind w:left="6545" w:hanging="180"/>
      </w:pPr>
    </w:lvl>
  </w:abstractNum>
  <w:abstractNum w:abstractNumId="5">
    <w:nsid w:val="51335564"/>
    <w:multiLevelType w:val="hybridMultilevel"/>
    <w:tmpl w:val="40FEE506"/>
    <w:lvl w:ilvl="0" w:tplc="040C0001">
      <w:start w:val="1"/>
      <w:numFmt w:val="bullet"/>
      <w:lvlText w:val=""/>
      <w:lvlJc w:val="left"/>
      <w:pPr>
        <w:ind w:left="1021" w:hanging="360"/>
      </w:pPr>
      <w:rPr>
        <w:rFonts w:ascii="Symbol" w:hAnsi="Symbol" w:hint="default"/>
      </w:rPr>
    </w:lvl>
    <w:lvl w:ilvl="1" w:tplc="040C0003" w:tentative="1">
      <w:start w:val="1"/>
      <w:numFmt w:val="bullet"/>
      <w:lvlText w:val="o"/>
      <w:lvlJc w:val="left"/>
      <w:pPr>
        <w:ind w:left="1741" w:hanging="360"/>
      </w:pPr>
      <w:rPr>
        <w:rFonts w:ascii="Courier New" w:hAnsi="Courier New" w:cs="Courier New" w:hint="default"/>
      </w:rPr>
    </w:lvl>
    <w:lvl w:ilvl="2" w:tplc="040C0005" w:tentative="1">
      <w:start w:val="1"/>
      <w:numFmt w:val="bullet"/>
      <w:lvlText w:val=""/>
      <w:lvlJc w:val="left"/>
      <w:pPr>
        <w:ind w:left="2461" w:hanging="360"/>
      </w:pPr>
      <w:rPr>
        <w:rFonts w:ascii="Wingdings" w:hAnsi="Wingdings" w:hint="default"/>
      </w:rPr>
    </w:lvl>
    <w:lvl w:ilvl="3" w:tplc="040C0001" w:tentative="1">
      <w:start w:val="1"/>
      <w:numFmt w:val="bullet"/>
      <w:lvlText w:val=""/>
      <w:lvlJc w:val="left"/>
      <w:pPr>
        <w:ind w:left="3181" w:hanging="360"/>
      </w:pPr>
      <w:rPr>
        <w:rFonts w:ascii="Symbol" w:hAnsi="Symbol" w:hint="default"/>
      </w:rPr>
    </w:lvl>
    <w:lvl w:ilvl="4" w:tplc="040C0003" w:tentative="1">
      <w:start w:val="1"/>
      <w:numFmt w:val="bullet"/>
      <w:lvlText w:val="o"/>
      <w:lvlJc w:val="left"/>
      <w:pPr>
        <w:ind w:left="3901" w:hanging="360"/>
      </w:pPr>
      <w:rPr>
        <w:rFonts w:ascii="Courier New" w:hAnsi="Courier New" w:cs="Courier New" w:hint="default"/>
      </w:rPr>
    </w:lvl>
    <w:lvl w:ilvl="5" w:tplc="040C0005" w:tentative="1">
      <w:start w:val="1"/>
      <w:numFmt w:val="bullet"/>
      <w:lvlText w:val=""/>
      <w:lvlJc w:val="left"/>
      <w:pPr>
        <w:ind w:left="4621" w:hanging="360"/>
      </w:pPr>
      <w:rPr>
        <w:rFonts w:ascii="Wingdings" w:hAnsi="Wingdings" w:hint="default"/>
      </w:rPr>
    </w:lvl>
    <w:lvl w:ilvl="6" w:tplc="040C0001" w:tentative="1">
      <w:start w:val="1"/>
      <w:numFmt w:val="bullet"/>
      <w:lvlText w:val=""/>
      <w:lvlJc w:val="left"/>
      <w:pPr>
        <w:ind w:left="5341" w:hanging="360"/>
      </w:pPr>
      <w:rPr>
        <w:rFonts w:ascii="Symbol" w:hAnsi="Symbol" w:hint="default"/>
      </w:rPr>
    </w:lvl>
    <w:lvl w:ilvl="7" w:tplc="040C0003" w:tentative="1">
      <w:start w:val="1"/>
      <w:numFmt w:val="bullet"/>
      <w:lvlText w:val="o"/>
      <w:lvlJc w:val="left"/>
      <w:pPr>
        <w:ind w:left="6061" w:hanging="360"/>
      </w:pPr>
      <w:rPr>
        <w:rFonts w:ascii="Courier New" w:hAnsi="Courier New" w:cs="Courier New" w:hint="default"/>
      </w:rPr>
    </w:lvl>
    <w:lvl w:ilvl="8" w:tplc="040C0005" w:tentative="1">
      <w:start w:val="1"/>
      <w:numFmt w:val="bullet"/>
      <w:lvlText w:val=""/>
      <w:lvlJc w:val="left"/>
      <w:pPr>
        <w:ind w:left="6781" w:hanging="360"/>
      </w:pPr>
      <w:rPr>
        <w:rFonts w:ascii="Wingdings" w:hAnsi="Wingdings" w:hint="default"/>
      </w:rPr>
    </w:lvl>
  </w:abstractNum>
  <w:abstractNum w:abstractNumId="6">
    <w:nsid w:val="64BB2837"/>
    <w:multiLevelType w:val="hybridMultilevel"/>
    <w:tmpl w:val="21A8AF70"/>
    <w:lvl w:ilvl="0" w:tplc="6D2CC28E">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7">
    <w:nsid w:val="6BD81E16"/>
    <w:multiLevelType w:val="hybridMultilevel"/>
    <w:tmpl w:val="57CA4ED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nsid w:val="72A56717"/>
    <w:multiLevelType w:val="hybridMultilevel"/>
    <w:tmpl w:val="4AAC0220"/>
    <w:lvl w:ilvl="0" w:tplc="FA5E9E30">
      <w:start w:val="1"/>
      <w:numFmt w:val="decimal"/>
      <w:lvlText w:val="%1."/>
      <w:lvlJc w:val="left"/>
      <w:pPr>
        <w:ind w:left="785" w:hanging="360"/>
      </w:pPr>
      <w:rPr>
        <w:rFonts w:hint="default"/>
        <w:b/>
        <w:bCs/>
        <w:sz w:val="32"/>
      </w:rPr>
    </w:lvl>
    <w:lvl w:ilvl="1" w:tplc="040C0001">
      <w:start w:val="1"/>
      <w:numFmt w:val="bullet"/>
      <w:lvlText w:val=""/>
      <w:lvlJc w:val="left"/>
      <w:pPr>
        <w:ind w:left="643" w:hanging="360"/>
      </w:pPr>
      <w:rPr>
        <w:rFonts w:ascii="Symbol" w:hAnsi="Symbol" w:hint="default"/>
      </w:rPr>
    </w:lvl>
    <w:lvl w:ilvl="2" w:tplc="040C001B" w:tentative="1">
      <w:start w:val="1"/>
      <w:numFmt w:val="lowerRoman"/>
      <w:lvlText w:val="%3."/>
      <w:lvlJc w:val="right"/>
      <w:pPr>
        <w:ind w:left="1799" w:hanging="180"/>
      </w:pPr>
    </w:lvl>
    <w:lvl w:ilvl="3" w:tplc="040C000F" w:tentative="1">
      <w:start w:val="1"/>
      <w:numFmt w:val="decimal"/>
      <w:lvlText w:val="%4."/>
      <w:lvlJc w:val="left"/>
      <w:pPr>
        <w:ind w:left="2519" w:hanging="360"/>
      </w:pPr>
    </w:lvl>
    <w:lvl w:ilvl="4" w:tplc="040C0019" w:tentative="1">
      <w:start w:val="1"/>
      <w:numFmt w:val="lowerLetter"/>
      <w:lvlText w:val="%5."/>
      <w:lvlJc w:val="left"/>
      <w:pPr>
        <w:ind w:left="3239" w:hanging="360"/>
      </w:pPr>
    </w:lvl>
    <w:lvl w:ilvl="5" w:tplc="040C001B" w:tentative="1">
      <w:start w:val="1"/>
      <w:numFmt w:val="lowerRoman"/>
      <w:lvlText w:val="%6."/>
      <w:lvlJc w:val="right"/>
      <w:pPr>
        <w:ind w:left="3959" w:hanging="180"/>
      </w:pPr>
    </w:lvl>
    <w:lvl w:ilvl="6" w:tplc="040C000F" w:tentative="1">
      <w:start w:val="1"/>
      <w:numFmt w:val="decimal"/>
      <w:lvlText w:val="%7."/>
      <w:lvlJc w:val="left"/>
      <w:pPr>
        <w:ind w:left="4679" w:hanging="360"/>
      </w:pPr>
    </w:lvl>
    <w:lvl w:ilvl="7" w:tplc="040C0019" w:tentative="1">
      <w:start w:val="1"/>
      <w:numFmt w:val="lowerLetter"/>
      <w:lvlText w:val="%8."/>
      <w:lvlJc w:val="left"/>
      <w:pPr>
        <w:ind w:left="5399" w:hanging="360"/>
      </w:pPr>
    </w:lvl>
    <w:lvl w:ilvl="8" w:tplc="040C001B" w:tentative="1">
      <w:start w:val="1"/>
      <w:numFmt w:val="lowerRoman"/>
      <w:lvlText w:val="%9."/>
      <w:lvlJc w:val="right"/>
      <w:pPr>
        <w:ind w:left="6119" w:hanging="180"/>
      </w:pPr>
    </w:lvl>
  </w:abstractNum>
  <w:abstractNum w:abstractNumId="9">
    <w:nsid w:val="796616BC"/>
    <w:multiLevelType w:val="hybridMultilevel"/>
    <w:tmpl w:val="BC187EFC"/>
    <w:lvl w:ilvl="0" w:tplc="56428DAC">
      <w:numFmt w:val="bullet"/>
      <w:lvlText w:val="-"/>
      <w:lvlJc w:val="left"/>
      <w:pPr>
        <w:ind w:left="1440" w:hanging="360"/>
      </w:pPr>
      <w:rPr>
        <w:rFonts w:ascii="Times New Roman" w:eastAsia="Times New Roman" w:hAnsi="Times New Roman" w:cs="Times New Roman"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10">
    <w:nsid w:val="7AAF6C0A"/>
    <w:multiLevelType w:val="hybridMultilevel"/>
    <w:tmpl w:val="2020F5B6"/>
    <w:lvl w:ilvl="0" w:tplc="6D2CC28E">
      <w:start w:val="1"/>
      <w:numFmt w:val="decimal"/>
      <w:lvlText w:val="%1"/>
      <w:lvlJc w:val="left"/>
      <w:pPr>
        <w:ind w:left="3583" w:hanging="360"/>
      </w:pPr>
      <w:rPr>
        <w:rFonts w:hint="default"/>
      </w:rPr>
    </w:lvl>
    <w:lvl w:ilvl="1" w:tplc="040C0019" w:tentative="1">
      <w:start w:val="1"/>
      <w:numFmt w:val="lowerLetter"/>
      <w:lvlText w:val="%2."/>
      <w:lvlJc w:val="left"/>
      <w:pPr>
        <w:ind w:left="4303" w:hanging="360"/>
      </w:pPr>
    </w:lvl>
    <w:lvl w:ilvl="2" w:tplc="040C001B" w:tentative="1">
      <w:start w:val="1"/>
      <w:numFmt w:val="lowerRoman"/>
      <w:lvlText w:val="%3."/>
      <w:lvlJc w:val="right"/>
      <w:pPr>
        <w:ind w:left="5023" w:hanging="180"/>
      </w:pPr>
    </w:lvl>
    <w:lvl w:ilvl="3" w:tplc="040C000F" w:tentative="1">
      <w:start w:val="1"/>
      <w:numFmt w:val="decimal"/>
      <w:lvlText w:val="%4."/>
      <w:lvlJc w:val="left"/>
      <w:pPr>
        <w:ind w:left="5743" w:hanging="360"/>
      </w:pPr>
    </w:lvl>
    <w:lvl w:ilvl="4" w:tplc="040C0019" w:tentative="1">
      <w:start w:val="1"/>
      <w:numFmt w:val="lowerLetter"/>
      <w:lvlText w:val="%5."/>
      <w:lvlJc w:val="left"/>
      <w:pPr>
        <w:ind w:left="6463" w:hanging="360"/>
      </w:pPr>
    </w:lvl>
    <w:lvl w:ilvl="5" w:tplc="040C001B" w:tentative="1">
      <w:start w:val="1"/>
      <w:numFmt w:val="lowerRoman"/>
      <w:lvlText w:val="%6."/>
      <w:lvlJc w:val="right"/>
      <w:pPr>
        <w:ind w:left="7183" w:hanging="180"/>
      </w:pPr>
    </w:lvl>
    <w:lvl w:ilvl="6" w:tplc="040C000F" w:tentative="1">
      <w:start w:val="1"/>
      <w:numFmt w:val="decimal"/>
      <w:lvlText w:val="%7."/>
      <w:lvlJc w:val="left"/>
      <w:pPr>
        <w:ind w:left="7903" w:hanging="360"/>
      </w:pPr>
    </w:lvl>
    <w:lvl w:ilvl="7" w:tplc="040C0019" w:tentative="1">
      <w:start w:val="1"/>
      <w:numFmt w:val="lowerLetter"/>
      <w:lvlText w:val="%8."/>
      <w:lvlJc w:val="left"/>
      <w:pPr>
        <w:ind w:left="8623" w:hanging="360"/>
      </w:pPr>
    </w:lvl>
    <w:lvl w:ilvl="8" w:tplc="040C001B" w:tentative="1">
      <w:start w:val="1"/>
      <w:numFmt w:val="lowerRoman"/>
      <w:lvlText w:val="%9."/>
      <w:lvlJc w:val="right"/>
      <w:pPr>
        <w:ind w:left="9343" w:hanging="180"/>
      </w:pPr>
    </w:lvl>
  </w:abstractNum>
  <w:abstractNum w:abstractNumId="11">
    <w:nsid w:val="7DD520AB"/>
    <w:multiLevelType w:val="hybridMultilevel"/>
    <w:tmpl w:val="7728B6E4"/>
    <w:lvl w:ilvl="0" w:tplc="FA5E9E30">
      <w:start w:val="1"/>
      <w:numFmt w:val="decimal"/>
      <w:lvlText w:val="%1."/>
      <w:lvlJc w:val="left"/>
      <w:pPr>
        <w:ind w:left="502" w:hanging="360"/>
      </w:pPr>
      <w:rPr>
        <w:rFonts w:hint="default"/>
        <w:b/>
        <w:bCs/>
        <w:sz w:val="32"/>
      </w:rPr>
    </w:lvl>
    <w:lvl w:ilvl="1" w:tplc="040C0001">
      <w:start w:val="1"/>
      <w:numFmt w:val="bullet"/>
      <w:lvlText w:val=""/>
      <w:lvlJc w:val="left"/>
      <w:pPr>
        <w:ind w:left="1079" w:hanging="360"/>
      </w:pPr>
      <w:rPr>
        <w:rFonts w:ascii="Symbol" w:hAnsi="Symbol" w:hint="default"/>
      </w:rPr>
    </w:lvl>
    <w:lvl w:ilvl="2" w:tplc="040C001B" w:tentative="1">
      <w:start w:val="1"/>
      <w:numFmt w:val="lowerRoman"/>
      <w:lvlText w:val="%3."/>
      <w:lvlJc w:val="right"/>
      <w:pPr>
        <w:ind w:left="1799" w:hanging="180"/>
      </w:pPr>
    </w:lvl>
    <w:lvl w:ilvl="3" w:tplc="040C000F" w:tentative="1">
      <w:start w:val="1"/>
      <w:numFmt w:val="decimal"/>
      <w:lvlText w:val="%4."/>
      <w:lvlJc w:val="left"/>
      <w:pPr>
        <w:ind w:left="2519" w:hanging="360"/>
      </w:pPr>
    </w:lvl>
    <w:lvl w:ilvl="4" w:tplc="040C0019" w:tentative="1">
      <w:start w:val="1"/>
      <w:numFmt w:val="lowerLetter"/>
      <w:lvlText w:val="%5."/>
      <w:lvlJc w:val="left"/>
      <w:pPr>
        <w:ind w:left="3239" w:hanging="360"/>
      </w:pPr>
    </w:lvl>
    <w:lvl w:ilvl="5" w:tplc="040C001B" w:tentative="1">
      <w:start w:val="1"/>
      <w:numFmt w:val="lowerRoman"/>
      <w:lvlText w:val="%6."/>
      <w:lvlJc w:val="right"/>
      <w:pPr>
        <w:ind w:left="3959" w:hanging="180"/>
      </w:pPr>
    </w:lvl>
    <w:lvl w:ilvl="6" w:tplc="040C000F" w:tentative="1">
      <w:start w:val="1"/>
      <w:numFmt w:val="decimal"/>
      <w:lvlText w:val="%7."/>
      <w:lvlJc w:val="left"/>
      <w:pPr>
        <w:ind w:left="4679" w:hanging="360"/>
      </w:pPr>
    </w:lvl>
    <w:lvl w:ilvl="7" w:tplc="040C0019" w:tentative="1">
      <w:start w:val="1"/>
      <w:numFmt w:val="lowerLetter"/>
      <w:lvlText w:val="%8."/>
      <w:lvlJc w:val="left"/>
      <w:pPr>
        <w:ind w:left="5399" w:hanging="360"/>
      </w:pPr>
    </w:lvl>
    <w:lvl w:ilvl="8" w:tplc="040C001B" w:tentative="1">
      <w:start w:val="1"/>
      <w:numFmt w:val="lowerRoman"/>
      <w:lvlText w:val="%9."/>
      <w:lvlJc w:val="right"/>
      <w:pPr>
        <w:ind w:left="6119" w:hanging="180"/>
      </w:pPr>
    </w:lvl>
  </w:abstractNum>
  <w:abstractNum w:abstractNumId="12">
    <w:nsid w:val="7DF73861"/>
    <w:multiLevelType w:val="hybridMultilevel"/>
    <w:tmpl w:val="38AEE94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7"/>
  </w:num>
  <w:num w:numId="2">
    <w:abstractNumId w:val="8"/>
  </w:num>
  <w:num w:numId="3">
    <w:abstractNumId w:val="0"/>
  </w:num>
  <w:num w:numId="4">
    <w:abstractNumId w:val="1"/>
  </w:num>
  <w:num w:numId="5">
    <w:abstractNumId w:val="9"/>
  </w:num>
  <w:num w:numId="6">
    <w:abstractNumId w:val="5"/>
  </w:num>
  <w:num w:numId="7">
    <w:abstractNumId w:val="4"/>
  </w:num>
  <w:num w:numId="8">
    <w:abstractNumId w:val="10"/>
  </w:num>
  <w:num w:numId="9">
    <w:abstractNumId w:val="6"/>
  </w:num>
  <w:num w:numId="10">
    <w:abstractNumId w:val="2"/>
  </w:num>
  <w:num w:numId="11">
    <w:abstractNumId w:val="0"/>
  </w:num>
  <w:num w:numId="12">
    <w:abstractNumId w:val="11"/>
  </w:num>
  <w:num w:numId="13">
    <w:abstractNumId w:val="3"/>
  </w:num>
  <w:num w:numId="14">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5"/>
  <w:defaultTabStop w:val="708"/>
  <w:hyphenationZone w:val="425"/>
  <w:drawingGridHorizontalSpacing w:val="120"/>
  <w:displayHorizontalDrawingGridEvery w:val="2"/>
  <w:characterSpacingControl w:val="doNotCompress"/>
  <w:footnotePr>
    <w:footnote w:id="0"/>
    <w:footnote w:id="1"/>
  </w:footnotePr>
  <w:endnotePr>
    <w:endnote w:id="0"/>
    <w:endnote w:id="1"/>
  </w:endnotePr>
  <w:compat/>
  <w:rsids>
    <w:rsidRoot w:val="00FB5154"/>
    <w:rsid w:val="00001CFD"/>
    <w:rsid w:val="0000277D"/>
    <w:rsid w:val="00002C4D"/>
    <w:rsid w:val="00002C87"/>
    <w:rsid w:val="00005383"/>
    <w:rsid w:val="000053B0"/>
    <w:rsid w:val="000055C9"/>
    <w:rsid w:val="00007DB8"/>
    <w:rsid w:val="0001056E"/>
    <w:rsid w:val="00011038"/>
    <w:rsid w:val="00012214"/>
    <w:rsid w:val="000124FB"/>
    <w:rsid w:val="00012F59"/>
    <w:rsid w:val="00013D47"/>
    <w:rsid w:val="00013F2C"/>
    <w:rsid w:val="00014615"/>
    <w:rsid w:val="000158E5"/>
    <w:rsid w:val="00015CC3"/>
    <w:rsid w:val="0001642B"/>
    <w:rsid w:val="00016667"/>
    <w:rsid w:val="00017D49"/>
    <w:rsid w:val="00017F39"/>
    <w:rsid w:val="00020B80"/>
    <w:rsid w:val="000210BB"/>
    <w:rsid w:val="00023B39"/>
    <w:rsid w:val="00023D51"/>
    <w:rsid w:val="00023DE3"/>
    <w:rsid w:val="00023FCD"/>
    <w:rsid w:val="00024034"/>
    <w:rsid w:val="00024AB9"/>
    <w:rsid w:val="00027878"/>
    <w:rsid w:val="00027A08"/>
    <w:rsid w:val="00027CE8"/>
    <w:rsid w:val="0003089A"/>
    <w:rsid w:val="000316DF"/>
    <w:rsid w:val="0003179C"/>
    <w:rsid w:val="00031A44"/>
    <w:rsid w:val="00032A33"/>
    <w:rsid w:val="00034D7A"/>
    <w:rsid w:val="000356AC"/>
    <w:rsid w:val="00036734"/>
    <w:rsid w:val="00037417"/>
    <w:rsid w:val="000377F1"/>
    <w:rsid w:val="00040601"/>
    <w:rsid w:val="00040872"/>
    <w:rsid w:val="00040A0F"/>
    <w:rsid w:val="0004224D"/>
    <w:rsid w:val="00042B74"/>
    <w:rsid w:val="00043971"/>
    <w:rsid w:val="0004405A"/>
    <w:rsid w:val="000468D3"/>
    <w:rsid w:val="00046B93"/>
    <w:rsid w:val="0004727E"/>
    <w:rsid w:val="000501D5"/>
    <w:rsid w:val="000501F3"/>
    <w:rsid w:val="00050C91"/>
    <w:rsid w:val="00050D46"/>
    <w:rsid w:val="00051406"/>
    <w:rsid w:val="00051FEC"/>
    <w:rsid w:val="00052202"/>
    <w:rsid w:val="000527EB"/>
    <w:rsid w:val="00052C99"/>
    <w:rsid w:val="000534A5"/>
    <w:rsid w:val="000548F9"/>
    <w:rsid w:val="00055217"/>
    <w:rsid w:val="0006156A"/>
    <w:rsid w:val="00061FE6"/>
    <w:rsid w:val="00062597"/>
    <w:rsid w:val="00063E19"/>
    <w:rsid w:val="00063F28"/>
    <w:rsid w:val="000647FE"/>
    <w:rsid w:val="00064F12"/>
    <w:rsid w:val="00065EBF"/>
    <w:rsid w:val="00066D16"/>
    <w:rsid w:val="0006750F"/>
    <w:rsid w:val="00067D74"/>
    <w:rsid w:val="00067FD6"/>
    <w:rsid w:val="000708EE"/>
    <w:rsid w:val="00073B26"/>
    <w:rsid w:val="00074577"/>
    <w:rsid w:val="000746A2"/>
    <w:rsid w:val="0007598E"/>
    <w:rsid w:val="00075E5A"/>
    <w:rsid w:val="00076021"/>
    <w:rsid w:val="000778C6"/>
    <w:rsid w:val="000800CE"/>
    <w:rsid w:val="000818E4"/>
    <w:rsid w:val="00081D50"/>
    <w:rsid w:val="0008384D"/>
    <w:rsid w:val="00084B8A"/>
    <w:rsid w:val="00084E79"/>
    <w:rsid w:val="000874A8"/>
    <w:rsid w:val="000901AE"/>
    <w:rsid w:val="000919FA"/>
    <w:rsid w:val="00092ADE"/>
    <w:rsid w:val="00092D42"/>
    <w:rsid w:val="000933BD"/>
    <w:rsid w:val="00093A05"/>
    <w:rsid w:val="00093B6D"/>
    <w:rsid w:val="00093CD0"/>
    <w:rsid w:val="00093D6B"/>
    <w:rsid w:val="00093FB7"/>
    <w:rsid w:val="000943DF"/>
    <w:rsid w:val="0009466F"/>
    <w:rsid w:val="00094954"/>
    <w:rsid w:val="00094FF2"/>
    <w:rsid w:val="0009509E"/>
    <w:rsid w:val="00095E84"/>
    <w:rsid w:val="00096DF6"/>
    <w:rsid w:val="000A0912"/>
    <w:rsid w:val="000A0F7B"/>
    <w:rsid w:val="000A1AFF"/>
    <w:rsid w:val="000A258B"/>
    <w:rsid w:val="000A2AD6"/>
    <w:rsid w:val="000A43AB"/>
    <w:rsid w:val="000A456E"/>
    <w:rsid w:val="000A46A4"/>
    <w:rsid w:val="000A6343"/>
    <w:rsid w:val="000A7773"/>
    <w:rsid w:val="000A77B0"/>
    <w:rsid w:val="000A7DEF"/>
    <w:rsid w:val="000B00E5"/>
    <w:rsid w:val="000B015D"/>
    <w:rsid w:val="000B03B2"/>
    <w:rsid w:val="000B170F"/>
    <w:rsid w:val="000B1D9C"/>
    <w:rsid w:val="000B2E45"/>
    <w:rsid w:val="000B3E0B"/>
    <w:rsid w:val="000B548C"/>
    <w:rsid w:val="000B783E"/>
    <w:rsid w:val="000B7A23"/>
    <w:rsid w:val="000C0C36"/>
    <w:rsid w:val="000C15D5"/>
    <w:rsid w:val="000C17AC"/>
    <w:rsid w:val="000C1FD6"/>
    <w:rsid w:val="000C24F1"/>
    <w:rsid w:val="000C39A4"/>
    <w:rsid w:val="000C4188"/>
    <w:rsid w:val="000C4CDC"/>
    <w:rsid w:val="000C542A"/>
    <w:rsid w:val="000C59A2"/>
    <w:rsid w:val="000C7397"/>
    <w:rsid w:val="000C7854"/>
    <w:rsid w:val="000D25E7"/>
    <w:rsid w:val="000D34AE"/>
    <w:rsid w:val="000D5E19"/>
    <w:rsid w:val="000D5FAB"/>
    <w:rsid w:val="000D61C0"/>
    <w:rsid w:val="000D626F"/>
    <w:rsid w:val="000D62D2"/>
    <w:rsid w:val="000D79A1"/>
    <w:rsid w:val="000E0292"/>
    <w:rsid w:val="000E1043"/>
    <w:rsid w:val="000E21B3"/>
    <w:rsid w:val="000E3A3B"/>
    <w:rsid w:val="000E4043"/>
    <w:rsid w:val="000E4965"/>
    <w:rsid w:val="000E4DB6"/>
    <w:rsid w:val="000E5920"/>
    <w:rsid w:val="000E598D"/>
    <w:rsid w:val="000E68FD"/>
    <w:rsid w:val="000F02BA"/>
    <w:rsid w:val="000F0CAB"/>
    <w:rsid w:val="000F1AFE"/>
    <w:rsid w:val="000F2F41"/>
    <w:rsid w:val="000F3B8E"/>
    <w:rsid w:val="000F499D"/>
    <w:rsid w:val="000F5B5D"/>
    <w:rsid w:val="000F5D92"/>
    <w:rsid w:val="000F62DE"/>
    <w:rsid w:val="000F7102"/>
    <w:rsid w:val="000F7A6C"/>
    <w:rsid w:val="001001D9"/>
    <w:rsid w:val="00101230"/>
    <w:rsid w:val="00101EF8"/>
    <w:rsid w:val="001022C1"/>
    <w:rsid w:val="00102A83"/>
    <w:rsid w:val="0010398A"/>
    <w:rsid w:val="001039B0"/>
    <w:rsid w:val="00105111"/>
    <w:rsid w:val="00105F6E"/>
    <w:rsid w:val="0011034A"/>
    <w:rsid w:val="00111B44"/>
    <w:rsid w:val="00111E47"/>
    <w:rsid w:val="0011409B"/>
    <w:rsid w:val="00116CCA"/>
    <w:rsid w:val="00116CD0"/>
    <w:rsid w:val="001200B6"/>
    <w:rsid w:val="001203F7"/>
    <w:rsid w:val="001214F9"/>
    <w:rsid w:val="00121FE4"/>
    <w:rsid w:val="00122062"/>
    <w:rsid w:val="001222CC"/>
    <w:rsid w:val="00122369"/>
    <w:rsid w:val="00122474"/>
    <w:rsid w:val="00122BBD"/>
    <w:rsid w:val="00123D58"/>
    <w:rsid w:val="00123E30"/>
    <w:rsid w:val="00127CFC"/>
    <w:rsid w:val="00127E48"/>
    <w:rsid w:val="00131625"/>
    <w:rsid w:val="00132C76"/>
    <w:rsid w:val="00135011"/>
    <w:rsid w:val="00135734"/>
    <w:rsid w:val="0013575F"/>
    <w:rsid w:val="00135C3A"/>
    <w:rsid w:val="00136CFC"/>
    <w:rsid w:val="00136F4E"/>
    <w:rsid w:val="00137B43"/>
    <w:rsid w:val="001417AD"/>
    <w:rsid w:val="00141E9B"/>
    <w:rsid w:val="00143BF2"/>
    <w:rsid w:val="00143D45"/>
    <w:rsid w:val="001451F9"/>
    <w:rsid w:val="001469D2"/>
    <w:rsid w:val="00147008"/>
    <w:rsid w:val="00147AAF"/>
    <w:rsid w:val="00150840"/>
    <w:rsid w:val="00151435"/>
    <w:rsid w:val="001527A3"/>
    <w:rsid w:val="001529FF"/>
    <w:rsid w:val="00153603"/>
    <w:rsid w:val="00155E7E"/>
    <w:rsid w:val="00156FDB"/>
    <w:rsid w:val="0016009C"/>
    <w:rsid w:val="001604B1"/>
    <w:rsid w:val="00160CD6"/>
    <w:rsid w:val="001615E7"/>
    <w:rsid w:val="00162F0B"/>
    <w:rsid w:val="00163573"/>
    <w:rsid w:val="00163A7D"/>
    <w:rsid w:val="0016457A"/>
    <w:rsid w:val="001650C7"/>
    <w:rsid w:val="00165B54"/>
    <w:rsid w:val="001669E6"/>
    <w:rsid w:val="00167E60"/>
    <w:rsid w:val="00167E87"/>
    <w:rsid w:val="00170761"/>
    <w:rsid w:val="00170780"/>
    <w:rsid w:val="001708BF"/>
    <w:rsid w:val="0017103A"/>
    <w:rsid w:val="00171AFC"/>
    <w:rsid w:val="001730A1"/>
    <w:rsid w:val="00173E32"/>
    <w:rsid w:val="0017460D"/>
    <w:rsid w:val="001747ED"/>
    <w:rsid w:val="00174AA2"/>
    <w:rsid w:val="00176575"/>
    <w:rsid w:val="00176658"/>
    <w:rsid w:val="001767CD"/>
    <w:rsid w:val="00177108"/>
    <w:rsid w:val="0017770A"/>
    <w:rsid w:val="00180468"/>
    <w:rsid w:val="0018282E"/>
    <w:rsid w:val="00183556"/>
    <w:rsid w:val="001839B1"/>
    <w:rsid w:val="00183A85"/>
    <w:rsid w:val="00184F9F"/>
    <w:rsid w:val="00185C38"/>
    <w:rsid w:val="00190362"/>
    <w:rsid w:val="00190B98"/>
    <w:rsid w:val="00192084"/>
    <w:rsid w:val="00192991"/>
    <w:rsid w:val="0019443D"/>
    <w:rsid w:val="00194803"/>
    <w:rsid w:val="00195748"/>
    <w:rsid w:val="00196E61"/>
    <w:rsid w:val="00197537"/>
    <w:rsid w:val="00197E28"/>
    <w:rsid w:val="001A02EE"/>
    <w:rsid w:val="001A06F6"/>
    <w:rsid w:val="001A0B0C"/>
    <w:rsid w:val="001A0B75"/>
    <w:rsid w:val="001A0F67"/>
    <w:rsid w:val="001A12E0"/>
    <w:rsid w:val="001A1D10"/>
    <w:rsid w:val="001A1FBB"/>
    <w:rsid w:val="001A2E0F"/>
    <w:rsid w:val="001A4556"/>
    <w:rsid w:val="001A50AC"/>
    <w:rsid w:val="001A576D"/>
    <w:rsid w:val="001A6534"/>
    <w:rsid w:val="001A6DC0"/>
    <w:rsid w:val="001B0A37"/>
    <w:rsid w:val="001B288F"/>
    <w:rsid w:val="001B44DF"/>
    <w:rsid w:val="001B57AE"/>
    <w:rsid w:val="001B5E1A"/>
    <w:rsid w:val="001B69E0"/>
    <w:rsid w:val="001B775D"/>
    <w:rsid w:val="001B7FB6"/>
    <w:rsid w:val="001C068B"/>
    <w:rsid w:val="001C1DC7"/>
    <w:rsid w:val="001C1ECC"/>
    <w:rsid w:val="001C2E48"/>
    <w:rsid w:val="001C3663"/>
    <w:rsid w:val="001C36A0"/>
    <w:rsid w:val="001C4A0B"/>
    <w:rsid w:val="001C544F"/>
    <w:rsid w:val="001C58AD"/>
    <w:rsid w:val="001C7614"/>
    <w:rsid w:val="001D0ADA"/>
    <w:rsid w:val="001D0B9C"/>
    <w:rsid w:val="001D0D6A"/>
    <w:rsid w:val="001D2520"/>
    <w:rsid w:val="001D25F8"/>
    <w:rsid w:val="001D278A"/>
    <w:rsid w:val="001D288C"/>
    <w:rsid w:val="001D2C5D"/>
    <w:rsid w:val="001D2FA1"/>
    <w:rsid w:val="001D59A8"/>
    <w:rsid w:val="001D6107"/>
    <w:rsid w:val="001D6480"/>
    <w:rsid w:val="001D7239"/>
    <w:rsid w:val="001D7572"/>
    <w:rsid w:val="001E1ECA"/>
    <w:rsid w:val="001E329A"/>
    <w:rsid w:val="001E55D0"/>
    <w:rsid w:val="001E583F"/>
    <w:rsid w:val="001E64C9"/>
    <w:rsid w:val="001E664F"/>
    <w:rsid w:val="001F08FC"/>
    <w:rsid w:val="001F0A87"/>
    <w:rsid w:val="001F1014"/>
    <w:rsid w:val="001F1A58"/>
    <w:rsid w:val="001F1B17"/>
    <w:rsid w:val="001F1EA8"/>
    <w:rsid w:val="001F729D"/>
    <w:rsid w:val="002004DC"/>
    <w:rsid w:val="00200D12"/>
    <w:rsid w:val="00202646"/>
    <w:rsid w:val="00203E93"/>
    <w:rsid w:val="00204E3E"/>
    <w:rsid w:val="00206CBA"/>
    <w:rsid w:val="00207B77"/>
    <w:rsid w:val="00211597"/>
    <w:rsid w:val="00211E41"/>
    <w:rsid w:val="002122D0"/>
    <w:rsid w:val="0021249E"/>
    <w:rsid w:val="00213F1E"/>
    <w:rsid w:val="0021515F"/>
    <w:rsid w:val="00215F90"/>
    <w:rsid w:val="0022035B"/>
    <w:rsid w:val="00220BFD"/>
    <w:rsid w:val="00222633"/>
    <w:rsid w:val="00223DD2"/>
    <w:rsid w:val="002244C9"/>
    <w:rsid w:val="00224CF5"/>
    <w:rsid w:val="00225ADC"/>
    <w:rsid w:val="00225CC8"/>
    <w:rsid w:val="00225D94"/>
    <w:rsid w:val="00227A99"/>
    <w:rsid w:val="0023068B"/>
    <w:rsid w:val="00232F37"/>
    <w:rsid w:val="002336B9"/>
    <w:rsid w:val="00233FDB"/>
    <w:rsid w:val="0023549A"/>
    <w:rsid w:val="0023572C"/>
    <w:rsid w:val="00235C87"/>
    <w:rsid w:val="002367BA"/>
    <w:rsid w:val="00237549"/>
    <w:rsid w:val="002405A5"/>
    <w:rsid w:val="002419EE"/>
    <w:rsid w:val="002441C7"/>
    <w:rsid w:val="002447B7"/>
    <w:rsid w:val="0024594C"/>
    <w:rsid w:val="0024601E"/>
    <w:rsid w:val="00246AB5"/>
    <w:rsid w:val="002501E1"/>
    <w:rsid w:val="002518F7"/>
    <w:rsid w:val="0025215B"/>
    <w:rsid w:val="0025256E"/>
    <w:rsid w:val="00253287"/>
    <w:rsid w:val="00253930"/>
    <w:rsid w:val="002539F4"/>
    <w:rsid w:val="00254A47"/>
    <w:rsid w:val="00254D8C"/>
    <w:rsid w:val="00254F5D"/>
    <w:rsid w:val="002550E6"/>
    <w:rsid w:val="00255827"/>
    <w:rsid w:val="00256064"/>
    <w:rsid w:val="00256ABB"/>
    <w:rsid w:val="00257304"/>
    <w:rsid w:val="002610CC"/>
    <w:rsid w:val="002617FA"/>
    <w:rsid w:val="00262199"/>
    <w:rsid w:val="0026342E"/>
    <w:rsid w:val="00264143"/>
    <w:rsid w:val="0026423C"/>
    <w:rsid w:val="00264275"/>
    <w:rsid w:val="00264823"/>
    <w:rsid w:val="00264A1F"/>
    <w:rsid w:val="00264AAC"/>
    <w:rsid w:val="002655BD"/>
    <w:rsid w:val="00265EB4"/>
    <w:rsid w:val="00267246"/>
    <w:rsid w:val="00267C04"/>
    <w:rsid w:val="00271AD5"/>
    <w:rsid w:val="00271D13"/>
    <w:rsid w:val="002730D2"/>
    <w:rsid w:val="002731D5"/>
    <w:rsid w:val="0027335D"/>
    <w:rsid w:val="002738F1"/>
    <w:rsid w:val="00274C15"/>
    <w:rsid w:val="00274FAF"/>
    <w:rsid w:val="00276571"/>
    <w:rsid w:val="002804A3"/>
    <w:rsid w:val="002816DB"/>
    <w:rsid w:val="0028283C"/>
    <w:rsid w:val="00282A76"/>
    <w:rsid w:val="00283F52"/>
    <w:rsid w:val="002844D8"/>
    <w:rsid w:val="0028577F"/>
    <w:rsid w:val="00287AB0"/>
    <w:rsid w:val="002908FC"/>
    <w:rsid w:val="002909C0"/>
    <w:rsid w:val="00290D24"/>
    <w:rsid w:val="00294A82"/>
    <w:rsid w:val="00294D15"/>
    <w:rsid w:val="00295120"/>
    <w:rsid w:val="00297CD2"/>
    <w:rsid w:val="002A02EA"/>
    <w:rsid w:val="002A07F0"/>
    <w:rsid w:val="002A080C"/>
    <w:rsid w:val="002A0D19"/>
    <w:rsid w:val="002A0E57"/>
    <w:rsid w:val="002A15F7"/>
    <w:rsid w:val="002A2468"/>
    <w:rsid w:val="002A2576"/>
    <w:rsid w:val="002A369A"/>
    <w:rsid w:val="002A3F35"/>
    <w:rsid w:val="002A44F9"/>
    <w:rsid w:val="002A71C9"/>
    <w:rsid w:val="002B03EE"/>
    <w:rsid w:val="002B0885"/>
    <w:rsid w:val="002B1780"/>
    <w:rsid w:val="002B2D5A"/>
    <w:rsid w:val="002B2F02"/>
    <w:rsid w:val="002B3B14"/>
    <w:rsid w:val="002B43C5"/>
    <w:rsid w:val="002B4749"/>
    <w:rsid w:val="002B4CA1"/>
    <w:rsid w:val="002B56E7"/>
    <w:rsid w:val="002B5D5E"/>
    <w:rsid w:val="002B6282"/>
    <w:rsid w:val="002B668B"/>
    <w:rsid w:val="002B6E48"/>
    <w:rsid w:val="002B72F5"/>
    <w:rsid w:val="002B7AC1"/>
    <w:rsid w:val="002B7CB7"/>
    <w:rsid w:val="002C315C"/>
    <w:rsid w:val="002C3B75"/>
    <w:rsid w:val="002C3DF6"/>
    <w:rsid w:val="002C41F9"/>
    <w:rsid w:val="002C44BF"/>
    <w:rsid w:val="002C5D78"/>
    <w:rsid w:val="002C7745"/>
    <w:rsid w:val="002C7A48"/>
    <w:rsid w:val="002D1876"/>
    <w:rsid w:val="002D39D6"/>
    <w:rsid w:val="002D3D04"/>
    <w:rsid w:val="002D48A5"/>
    <w:rsid w:val="002D4F45"/>
    <w:rsid w:val="002D58E3"/>
    <w:rsid w:val="002D59E5"/>
    <w:rsid w:val="002D649E"/>
    <w:rsid w:val="002D7086"/>
    <w:rsid w:val="002E0ADB"/>
    <w:rsid w:val="002E2CB3"/>
    <w:rsid w:val="002E5376"/>
    <w:rsid w:val="002E6635"/>
    <w:rsid w:val="002E7A4A"/>
    <w:rsid w:val="002F0FB7"/>
    <w:rsid w:val="002F3305"/>
    <w:rsid w:val="002F39AB"/>
    <w:rsid w:val="002F6C71"/>
    <w:rsid w:val="0030041D"/>
    <w:rsid w:val="003007CA"/>
    <w:rsid w:val="00301D35"/>
    <w:rsid w:val="00303111"/>
    <w:rsid w:val="00304271"/>
    <w:rsid w:val="00304392"/>
    <w:rsid w:val="00304C66"/>
    <w:rsid w:val="00304F41"/>
    <w:rsid w:val="003054DA"/>
    <w:rsid w:val="00305621"/>
    <w:rsid w:val="00305668"/>
    <w:rsid w:val="00306A01"/>
    <w:rsid w:val="00306B5B"/>
    <w:rsid w:val="0030712F"/>
    <w:rsid w:val="0030785C"/>
    <w:rsid w:val="00307A5B"/>
    <w:rsid w:val="00310353"/>
    <w:rsid w:val="0031206A"/>
    <w:rsid w:val="003123A4"/>
    <w:rsid w:val="003129C4"/>
    <w:rsid w:val="0031379F"/>
    <w:rsid w:val="00313AB9"/>
    <w:rsid w:val="00313D8D"/>
    <w:rsid w:val="00313DAF"/>
    <w:rsid w:val="0031641F"/>
    <w:rsid w:val="00316A54"/>
    <w:rsid w:val="0032032C"/>
    <w:rsid w:val="003211BC"/>
    <w:rsid w:val="00321810"/>
    <w:rsid w:val="00321843"/>
    <w:rsid w:val="003228B0"/>
    <w:rsid w:val="00323553"/>
    <w:rsid w:val="00323EF8"/>
    <w:rsid w:val="0032715A"/>
    <w:rsid w:val="0033012D"/>
    <w:rsid w:val="003304BC"/>
    <w:rsid w:val="00330B2D"/>
    <w:rsid w:val="00331F00"/>
    <w:rsid w:val="003321E4"/>
    <w:rsid w:val="003325D6"/>
    <w:rsid w:val="003327D6"/>
    <w:rsid w:val="0033483C"/>
    <w:rsid w:val="00334865"/>
    <w:rsid w:val="00334D0F"/>
    <w:rsid w:val="0033541B"/>
    <w:rsid w:val="00335964"/>
    <w:rsid w:val="00336AC7"/>
    <w:rsid w:val="00340446"/>
    <w:rsid w:val="00340AA6"/>
    <w:rsid w:val="0034158E"/>
    <w:rsid w:val="0034163E"/>
    <w:rsid w:val="00341A12"/>
    <w:rsid w:val="00342122"/>
    <w:rsid w:val="00342635"/>
    <w:rsid w:val="00342898"/>
    <w:rsid w:val="00343D5A"/>
    <w:rsid w:val="003441CD"/>
    <w:rsid w:val="00344FE2"/>
    <w:rsid w:val="00346369"/>
    <w:rsid w:val="00346F4B"/>
    <w:rsid w:val="00347A23"/>
    <w:rsid w:val="003505A4"/>
    <w:rsid w:val="0035206B"/>
    <w:rsid w:val="00352124"/>
    <w:rsid w:val="003526E0"/>
    <w:rsid w:val="0035293A"/>
    <w:rsid w:val="00353952"/>
    <w:rsid w:val="003549B7"/>
    <w:rsid w:val="00355DE2"/>
    <w:rsid w:val="00356465"/>
    <w:rsid w:val="00357020"/>
    <w:rsid w:val="00360807"/>
    <w:rsid w:val="00361074"/>
    <w:rsid w:val="0036388B"/>
    <w:rsid w:val="003639B6"/>
    <w:rsid w:val="00363FED"/>
    <w:rsid w:val="00365421"/>
    <w:rsid w:val="0036634B"/>
    <w:rsid w:val="0036643E"/>
    <w:rsid w:val="0036683F"/>
    <w:rsid w:val="0036731F"/>
    <w:rsid w:val="003708C3"/>
    <w:rsid w:val="003731F3"/>
    <w:rsid w:val="00373CA1"/>
    <w:rsid w:val="003748E7"/>
    <w:rsid w:val="003764DE"/>
    <w:rsid w:val="00377363"/>
    <w:rsid w:val="003774FD"/>
    <w:rsid w:val="0037790B"/>
    <w:rsid w:val="003810D0"/>
    <w:rsid w:val="00381B13"/>
    <w:rsid w:val="003832F7"/>
    <w:rsid w:val="00385EA8"/>
    <w:rsid w:val="003866C9"/>
    <w:rsid w:val="003875BA"/>
    <w:rsid w:val="00387B6D"/>
    <w:rsid w:val="0039103E"/>
    <w:rsid w:val="003915CF"/>
    <w:rsid w:val="00392A21"/>
    <w:rsid w:val="00393801"/>
    <w:rsid w:val="00393CB1"/>
    <w:rsid w:val="0039544A"/>
    <w:rsid w:val="00395EF3"/>
    <w:rsid w:val="003963DC"/>
    <w:rsid w:val="00397340"/>
    <w:rsid w:val="0039764C"/>
    <w:rsid w:val="00397951"/>
    <w:rsid w:val="003A008A"/>
    <w:rsid w:val="003A0804"/>
    <w:rsid w:val="003A1537"/>
    <w:rsid w:val="003A2E50"/>
    <w:rsid w:val="003A35A5"/>
    <w:rsid w:val="003A4A39"/>
    <w:rsid w:val="003A5AEE"/>
    <w:rsid w:val="003A6AAA"/>
    <w:rsid w:val="003B0304"/>
    <w:rsid w:val="003B48EE"/>
    <w:rsid w:val="003B50A3"/>
    <w:rsid w:val="003B658A"/>
    <w:rsid w:val="003B6952"/>
    <w:rsid w:val="003B758F"/>
    <w:rsid w:val="003C03A4"/>
    <w:rsid w:val="003C08DE"/>
    <w:rsid w:val="003C18CC"/>
    <w:rsid w:val="003C1BB4"/>
    <w:rsid w:val="003C1E02"/>
    <w:rsid w:val="003C1FDE"/>
    <w:rsid w:val="003C23A6"/>
    <w:rsid w:val="003C3C0C"/>
    <w:rsid w:val="003C3DEB"/>
    <w:rsid w:val="003C41F4"/>
    <w:rsid w:val="003C525A"/>
    <w:rsid w:val="003C5A97"/>
    <w:rsid w:val="003C6FDB"/>
    <w:rsid w:val="003D2472"/>
    <w:rsid w:val="003D2F3E"/>
    <w:rsid w:val="003D6572"/>
    <w:rsid w:val="003D76CB"/>
    <w:rsid w:val="003D7AF5"/>
    <w:rsid w:val="003E0407"/>
    <w:rsid w:val="003E0E5B"/>
    <w:rsid w:val="003E1126"/>
    <w:rsid w:val="003E2375"/>
    <w:rsid w:val="003E2DE1"/>
    <w:rsid w:val="003E37B6"/>
    <w:rsid w:val="003E4E24"/>
    <w:rsid w:val="003F0041"/>
    <w:rsid w:val="003F10A2"/>
    <w:rsid w:val="003F16A4"/>
    <w:rsid w:val="003F2005"/>
    <w:rsid w:val="003F2F10"/>
    <w:rsid w:val="003F324A"/>
    <w:rsid w:val="003F35F7"/>
    <w:rsid w:val="003F4456"/>
    <w:rsid w:val="003F4E59"/>
    <w:rsid w:val="004002BC"/>
    <w:rsid w:val="0040170F"/>
    <w:rsid w:val="00401AE2"/>
    <w:rsid w:val="00403792"/>
    <w:rsid w:val="00403EF5"/>
    <w:rsid w:val="00405CC9"/>
    <w:rsid w:val="00406DA7"/>
    <w:rsid w:val="0040708A"/>
    <w:rsid w:val="0041124B"/>
    <w:rsid w:val="0041230B"/>
    <w:rsid w:val="00412C17"/>
    <w:rsid w:val="00412F8A"/>
    <w:rsid w:val="004137F0"/>
    <w:rsid w:val="00413913"/>
    <w:rsid w:val="00414F76"/>
    <w:rsid w:val="00416B31"/>
    <w:rsid w:val="00417038"/>
    <w:rsid w:val="00417BC7"/>
    <w:rsid w:val="004221A9"/>
    <w:rsid w:val="00422C2D"/>
    <w:rsid w:val="00423A13"/>
    <w:rsid w:val="00424701"/>
    <w:rsid w:val="00424A6C"/>
    <w:rsid w:val="0042527C"/>
    <w:rsid w:val="004259DA"/>
    <w:rsid w:val="00426888"/>
    <w:rsid w:val="00430329"/>
    <w:rsid w:val="00430D3F"/>
    <w:rsid w:val="004317A2"/>
    <w:rsid w:val="00432805"/>
    <w:rsid w:val="004335D4"/>
    <w:rsid w:val="004347FB"/>
    <w:rsid w:val="00434B75"/>
    <w:rsid w:val="00435F3C"/>
    <w:rsid w:val="00436324"/>
    <w:rsid w:val="004367B3"/>
    <w:rsid w:val="0043751A"/>
    <w:rsid w:val="00440B2C"/>
    <w:rsid w:val="004414E7"/>
    <w:rsid w:val="00441C14"/>
    <w:rsid w:val="004426C4"/>
    <w:rsid w:val="004451EA"/>
    <w:rsid w:val="00446004"/>
    <w:rsid w:val="004479A1"/>
    <w:rsid w:val="00447F5A"/>
    <w:rsid w:val="0045053C"/>
    <w:rsid w:val="00453689"/>
    <w:rsid w:val="00453863"/>
    <w:rsid w:val="0045623F"/>
    <w:rsid w:val="00456931"/>
    <w:rsid w:val="0045696E"/>
    <w:rsid w:val="00456B08"/>
    <w:rsid w:val="00457685"/>
    <w:rsid w:val="0046035D"/>
    <w:rsid w:val="004627A2"/>
    <w:rsid w:val="00462C5B"/>
    <w:rsid w:val="00464BE4"/>
    <w:rsid w:val="00465B5D"/>
    <w:rsid w:val="004662C1"/>
    <w:rsid w:val="0046693A"/>
    <w:rsid w:val="00466D3A"/>
    <w:rsid w:val="00467660"/>
    <w:rsid w:val="004708FB"/>
    <w:rsid w:val="0047185F"/>
    <w:rsid w:val="004719B5"/>
    <w:rsid w:val="00472DBD"/>
    <w:rsid w:val="00472F8A"/>
    <w:rsid w:val="0047318D"/>
    <w:rsid w:val="004733A6"/>
    <w:rsid w:val="0047396E"/>
    <w:rsid w:val="00473FD4"/>
    <w:rsid w:val="00474052"/>
    <w:rsid w:val="004744D0"/>
    <w:rsid w:val="004749DE"/>
    <w:rsid w:val="00475CA4"/>
    <w:rsid w:val="004762FA"/>
    <w:rsid w:val="00476366"/>
    <w:rsid w:val="004766CA"/>
    <w:rsid w:val="00476C9E"/>
    <w:rsid w:val="00476E69"/>
    <w:rsid w:val="004776ED"/>
    <w:rsid w:val="0048029E"/>
    <w:rsid w:val="00480CA5"/>
    <w:rsid w:val="0048182B"/>
    <w:rsid w:val="00481EFE"/>
    <w:rsid w:val="00482067"/>
    <w:rsid w:val="00483BE9"/>
    <w:rsid w:val="004840F9"/>
    <w:rsid w:val="00485521"/>
    <w:rsid w:val="00485763"/>
    <w:rsid w:val="0048616A"/>
    <w:rsid w:val="00486B84"/>
    <w:rsid w:val="00491FC0"/>
    <w:rsid w:val="00496B43"/>
    <w:rsid w:val="0049768C"/>
    <w:rsid w:val="00497946"/>
    <w:rsid w:val="004A0337"/>
    <w:rsid w:val="004A0801"/>
    <w:rsid w:val="004A0A68"/>
    <w:rsid w:val="004A0D10"/>
    <w:rsid w:val="004A0F0D"/>
    <w:rsid w:val="004A1A98"/>
    <w:rsid w:val="004A1D3D"/>
    <w:rsid w:val="004A2939"/>
    <w:rsid w:val="004A300A"/>
    <w:rsid w:val="004A321B"/>
    <w:rsid w:val="004A5633"/>
    <w:rsid w:val="004A5752"/>
    <w:rsid w:val="004A5F8A"/>
    <w:rsid w:val="004A7D91"/>
    <w:rsid w:val="004B10C3"/>
    <w:rsid w:val="004B2B17"/>
    <w:rsid w:val="004B2CF6"/>
    <w:rsid w:val="004B448E"/>
    <w:rsid w:val="004B47BC"/>
    <w:rsid w:val="004B5432"/>
    <w:rsid w:val="004B5740"/>
    <w:rsid w:val="004B5F68"/>
    <w:rsid w:val="004B6AF1"/>
    <w:rsid w:val="004B79A9"/>
    <w:rsid w:val="004C0D2C"/>
    <w:rsid w:val="004C1865"/>
    <w:rsid w:val="004C26D5"/>
    <w:rsid w:val="004C2E15"/>
    <w:rsid w:val="004C2E3C"/>
    <w:rsid w:val="004C3014"/>
    <w:rsid w:val="004C3136"/>
    <w:rsid w:val="004C52F9"/>
    <w:rsid w:val="004C5AD7"/>
    <w:rsid w:val="004C7EA3"/>
    <w:rsid w:val="004C7F37"/>
    <w:rsid w:val="004C7FE4"/>
    <w:rsid w:val="004D0015"/>
    <w:rsid w:val="004D03B3"/>
    <w:rsid w:val="004D0C77"/>
    <w:rsid w:val="004D10A3"/>
    <w:rsid w:val="004D2C07"/>
    <w:rsid w:val="004D3675"/>
    <w:rsid w:val="004D3AC3"/>
    <w:rsid w:val="004D4F3C"/>
    <w:rsid w:val="004D5745"/>
    <w:rsid w:val="004D5AEC"/>
    <w:rsid w:val="004E0811"/>
    <w:rsid w:val="004E3A59"/>
    <w:rsid w:val="004E426A"/>
    <w:rsid w:val="004E4DF1"/>
    <w:rsid w:val="004E5F17"/>
    <w:rsid w:val="004E6D10"/>
    <w:rsid w:val="004E6F49"/>
    <w:rsid w:val="004E7AA1"/>
    <w:rsid w:val="004F094D"/>
    <w:rsid w:val="004F0F67"/>
    <w:rsid w:val="004F1F8A"/>
    <w:rsid w:val="004F3C0D"/>
    <w:rsid w:val="004F3CFE"/>
    <w:rsid w:val="004F6E4F"/>
    <w:rsid w:val="00500767"/>
    <w:rsid w:val="00500AA9"/>
    <w:rsid w:val="005011E5"/>
    <w:rsid w:val="00502046"/>
    <w:rsid w:val="005034E0"/>
    <w:rsid w:val="00504DDB"/>
    <w:rsid w:val="00505990"/>
    <w:rsid w:val="005059EA"/>
    <w:rsid w:val="00505B8C"/>
    <w:rsid w:val="00505BC5"/>
    <w:rsid w:val="00506AE4"/>
    <w:rsid w:val="00507676"/>
    <w:rsid w:val="00510209"/>
    <w:rsid w:val="00510502"/>
    <w:rsid w:val="005116B4"/>
    <w:rsid w:val="00512206"/>
    <w:rsid w:val="00512D03"/>
    <w:rsid w:val="00513331"/>
    <w:rsid w:val="00513CDE"/>
    <w:rsid w:val="00514628"/>
    <w:rsid w:val="005148C5"/>
    <w:rsid w:val="00515511"/>
    <w:rsid w:val="00516647"/>
    <w:rsid w:val="0051667C"/>
    <w:rsid w:val="0051752F"/>
    <w:rsid w:val="00517538"/>
    <w:rsid w:val="005226E3"/>
    <w:rsid w:val="00524451"/>
    <w:rsid w:val="005249D8"/>
    <w:rsid w:val="005268BB"/>
    <w:rsid w:val="00526C1E"/>
    <w:rsid w:val="0052708E"/>
    <w:rsid w:val="00527F86"/>
    <w:rsid w:val="00530DA5"/>
    <w:rsid w:val="00530FFD"/>
    <w:rsid w:val="005332F6"/>
    <w:rsid w:val="00533E6F"/>
    <w:rsid w:val="005361FA"/>
    <w:rsid w:val="00536873"/>
    <w:rsid w:val="005370AD"/>
    <w:rsid w:val="00537B2F"/>
    <w:rsid w:val="005407A5"/>
    <w:rsid w:val="0054173D"/>
    <w:rsid w:val="005417F0"/>
    <w:rsid w:val="00542E22"/>
    <w:rsid w:val="00542E8A"/>
    <w:rsid w:val="0054372D"/>
    <w:rsid w:val="0054396F"/>
    <w:rsid w:val="00543D43"/>
    <w:rsid w:val="00544648"/>
    <w:rsid w:val="00545871"/>
    <w:rsid w:val="005461C7"/>
    <w:rsid w:val="0054625D"/>
    <w:rsid w:val="00546BFA"/>
    <w:rsid w:val="00546F50"/>
    <w:rsid w:val="00547197"/>
    <w:rsid w:val="005476D2"/>
    <w:rsid w:val="005477B4"/>
    <w:rsid w:val="00551BD7"/>
    <w:rsid w:val="0055413F"/>
    <w:rsid w:val="00554D00"/>
    <w:rsid w:val="0055746E"/>
    <w:rsid w:val="00557807"/>
    <w:rsid w:val="00557B29"/>
    <w:rsid w:val="005607B0"/>
    <w:rsid w:val="00561537"/>
    <w:rsid w:val="00561C13"/>
    <w:rsid w:val="0056293A"/>
    <w:rsid w:val="00563D30"/>
    <w:rsid w:val="00564C62"/>
    <w:rsid w:val="00564E6C"/>
    <w:rsid w:val="00566189"/>
    <w:rsid w:val="005668CF"/>
    <w:rsid w:val="00567F91"/>
    <w:rsid w:val="00570364"/>
    <w:rsid w:val="0057089E"/>
    <w:rsid w:val="00570A60"/>
    <w:rsid w:val="00570F69"/>
    <w:rsid w:val="00572DBB"/>
    <w:rsid w:val="0057415A"/>
    <w:rsid w:val="00576788"/>
    <w:rsid w:val="005768CE"/>
    <w:rsid w:val="005776A9"/>
    <w:rsid w:val="005810E2"/>
    <w:rsid w:val="00581E57"/>
    <w:rsid w:val="00586DD9"/>
    <w:rsid w:val="00586FD6"/>
    <w:rsid w:val="00587280"/>
    <w:rsid w:val="00587D10"/>
    <w:rsid w:val="00587DC3"/>
    <w:rsid w:val="0059004C"/>
    <w:rsid w:val="00590155"/>
    <w:rsid w:val="005901D8"/>
    <w:rsid w:val="00591390"/>
    <w:rsid w:val="0059222A"/>
    <w:rsid w:val="0059278D"/>
    <w:rsid w:val="00592C1D"/>
    <w:rsid w:val="00594830"/>
    <w:rsid w:val="00595835"/>
    <w:rsid w:val="005969AE"/>
    <w:rsid w:val="00596AB7"/>
    <w:rsid w:val="0059711C"/>
    <w:rsid w:val="00597787"/>
    <w:rsid w:val="00597C7F"/>
    <w:rsid w:val="005A0430"/>
    <w:rsid w:val="005A11D8"/>
    <w:rsid w:val="005A142C"/>
    <w:rsid w:val="005A1B82"/>
    <w:rsid w:val="005A1CB8"/>
    <w:rsid w:val="005A21E2"/>
    <w:rsid w:val="005A2385"/>
    <w:rsid w:val="005A2D0A"/>
    <w:rsid w:val="005A3268"/>
    <w:rsid w:val="005A45B7"/>
    <w:rsid w:val="005A4C7C"/>
    <w:rsid w:val="005A4E14"/>
    <w:rsid w:val="005A640C"/>
    <w:rsid w:val="005A7C02"/>
    <w:rsid w:val="005B1C7E"/>
    <w:rsid w:val="005B30C2"/>
    <w:rsid w:val="005B475A"/>
    <w:rsid w:val="005B48A5"/>
    <w:rsid w:val="005B5D9B"/>
    <w:rsid w:val="005B6985"/>
    <w:rsid w:val="005B69FE"/>
    <w:rsid w:val="005B6D8C"/>
    <w:rsid w:val="005C100E"/>
    <w:rsid w:val="005C1C08"/>
    <w:rsid w:val="005C23D9"/>
    <w:rsid w:val="005C24BD"/>
    <w:rsid w:val="005C311A"/>
    <w:rsid w:val="005C36E7"/>
    <w:rsid w:val="005C3C2D"/>
    <w:rsid w:val="005C3E33"/>
    <w:rsid w:val="005C4E3B"/>
    <w:rsid w:val="005C7210"/>
    <w:rsid w:val="005C7953"/>
    <w:rsid w:val="005C79C5"/>
    <w:rsid w:val="005D21DC"/>
    <w:rsid w:val="005D2CBE"/>
    <w:rsid w:val="005D3E17"/>
    <w:rsid w:val="005D51CA"/>
    <w:rsid w:val="005E0D9D"/>
    <w:rsid w:val="005E2333"/>
    <w:rsid w:val="005E30B1"/>
    <w:rsid w:val="005E4263"/>
    <w:rsid w:val="005E53EE"/>
    <w:rsid w:val="005E75B8"/>
    <w:rsid w:val="005E7DB3"/>
    <w:rsid w:val="005F04D0"/>
    <w:rsid w:val="005F0E53"/>
    <w:rsid w:val="005F0E73"/>
    <w:rsid w:val="005F0ED8"/>
    <w:rsid w:val="005F327A"/>
    <w:rsid w:val="005F4016"/>
    <w:rsid w:val="005F42BA"/>
    <w:rsid w:val="005F437A"/>
    <w:rsid w:val="005F4C0B"/>
    <w:rsid w:val="005F55ED"/>
    <w:rsid w:val="005F5895"/>
    <w:rsid w:val="005F6D36"/>
    <w:rsid w:val="005F704D"/>
    <w:rsid w:val="005F7B54"/>
    <w:rsid w:val="005F7B80"/>
    <w:rsid w:val="005F7F29"/>
    <w:rsid w:val="0060024A"/>
    <w:rsid w:val="00601A00"/>
    <w:rsid w:val="00601C0B"/>
    <w:rsid w:val="006024F0"/>
    <w:rsid w:val="00602E19"/>
    <w:rsid w:val="00604FCE"/>
    <w:rsid w:val="00605BAD"/>
    <w:rsid w:val="00607B45"/>
    <w:rsid w:val="00611033"/>
    <w:rsid w:val="00611AA3"/>
    <w:rsid w:val="00611F15"/>
    <w:rsid w:val="006128D5"/>
    <w:rsid w:val="00612F7A"/>
    <w:rsid w:val="006135A4"/>
    <w:rsid w:val="00614661"/>
    <w:rsid w:val="00615993"/>
    <w:rsid w:val="00620802"/>
    <w:rsid w:val="00621804"/>
    <w:rsid w:val="006225D1"/>
    <w:rsid w:val="00622A3A"/>
    <w:rsid w:val="00622D42"/>
    <w:rsid w:val="0062655E"/>
    <w:rsid w:val="00627259"/>
    <w:rsid w:val="00630E9E"/>
    <w:rsid w:val="00631571"/>
    <w:rsid w:val="00632165"/>
    <w:rsid w:val="0063275B"/>
    <w:rsid w:val="00632A0D"/>
    <w:rsid w:val="00632BA8"/>
    <w:rsid w:val="00634D0A"/>
    <w:rsid w:val="00636446"/>
    <w:rsid w:val="0063796C"/>
    <w:rsid w:val="00642F6E"/>
    <w:rsid w:val="006435F7"/>
    <w:rsid w:val="0064366A"/>
    <w:rsid w:val="00643DBC"/>
    <w:rsid w:val="00645D40"/>
    <w:rsid w:val="006463D8"/>
    <w:rsid w:val="006500BA"/>
    <w:rsid w:val="0065122D"/>
    <w:rsid w:val="00652E79"/>
    <w:rsid w:val="00657AAF"/>
    <w:rsid w:val="00660179"/>
    <w:rsid w:val="006620AA"/>
    <w:rsid w:val="00663D65"/>
    <w:rsid w:val="00664B34"/>
    <w:rsid w:val="00665595"/>
    <w:rsid w:val="006656D8"/>
    <w:rsid w:val="00667AB1"/>
    <w:rsid w:val="00667F70"/>
    <w:rsid w:val="00670340"/>
    <w:rsid w:val="006705DD"/>
    <w:rsid w:val="0067071E"/>
    <w:rsid w:val="0067383A"/>
    <w:rsid w:val="00680044"/>
    <w:rsid w:val="0068038B"/>
    <w:rsid w:val="006809E3"/>
    <w:rsid w:val="0068132A"/>
    <w:rsid w:val="00682679"/>
    <w:rsid w:val="00682F97"/>
    <w:rsid w:val="00685317"/>
    <w:rsid w:val="00685507"/>
    <w:rsid w:val="00687E05"/>
    <w:rsid w:val="00693796"/>
    <w:rsid w:val="006937A8"/>
    <w:rsid w:val="006938A6"/>
    <w:rsid w:val="00694905"/>
    <w:rsid w:val="0069557F"/>
    <w:rsid w:val="00695597"/>
    <w:rsid w:val="00696211"/>
    <w:rsid w:val="006967F2"/>
    <w:rsid w:val="00696CBF"/>
    <w:rsid w:val="00697BCD"/>
    <w:rsid w:val="006A019B"/>
    <w:rsid w:val="006A0FD3"/>
    <w:rsid w:val="006A1177"/>
    <w:rsid w:val="006A17DF"/>
    <w:rsid w:val="006A600B"/>
    <w:rsid w:val="006A64D4"/>
    <w:rsid w:val="006A6DA5"/>
    <w:rsid w:val="006A752D"/>
    <w:rsid w:val="006B076D"/>
    <w:rsid w:val="006B1374"/>
    <w:rsid w:val="006B15AB"/>
    <w:rsid w:val="006B1887"/>
    <w:rsid w:val="006B1F26"/>
    <w:rsid w:val="006B2192"/>
    <w:rsid w:val="006B5175"/>
    <w:rsid w:val="006B6034"/>
    <w:rsid w:val="006B64C3"/>
    <w:rsid w:val="006B7121"/>
    <w:rsid w:val="006B7D9F"/>
    <w:rsid w:val="006C0EFD"/>
    <w:rsid w:val="006C2E02"/>
    <w:rsid w:val="006C6538"/>
    <w:rsid w:val="006C6950"/>
    <w:rsid w:val="006C6C31"/>
    <w:rsid w:val="006C6CCC"/>
    <w:rsid w:val="006D03A6"/>
    <w:rsid w:val="006D060F"/>
    <w:rsid w:val="006D1A39"/>
    <w:rsid w:val="006D2622"/>
    <w:rsid w:val="006D32C4"/>
    <w:rsid w:val="006D449E"/>
    <w:rsid w:val="006D45F0"/>
    <w:rsid w:val="006D54BD"/>
    <w:rsid w:val="006D5E23"/>
    <w:rsid w:val="006D61DB"/>
    <w:rsid w:val="006D7C61"/>
    <w:rsid w:val="006E0ADA"/>
    <w:rsid w:val="006E0B7B"/>
    <w:rsid w:val="006E351F"/>
    <w:rsid w:val="006E4001"/>
    <w:rsid w:val="006E40FD"/>
    <w:rsid w:val="006E4D83"/>
    <w:rsid w:val="006E4F29"/>
    <w:rsid w:val="006E5675"/>
    <w:rsid w:val="006F11AF"/>
    <w:rsid w:val="006F2166"/>
    <w:rsid w:val="006F24FB"/>
    <w:rsid w:val="006F2FF4"/>
    <w:rsid w:val="006F4B42"/>
    <w:rsid w:val="006F6164"/>
    <w:rsid w:val="006F7FF2"/>
    <w:rsid w:val="00700AC9"/>
    <w:rsid w:val="00701282"/>
    <w:rsid w:val="00701722"/>
    <w:rsid w:val="007022D8"/>
    <w:rsid w:val="00703299"/>
    <w:rsid w:val="00703C64"/>
    <w:rsid w:val="00704B0E"/>
    <w:rsid w:val="00707C3E"/>
    <w:rsid w:val="0071072C"/>
    <w:rsid w:val="00711669"/>
    <w:rsid w:val="00711A50"/>
    <w:rsid w:val="00712CE2"/>
    <w:rsid w:val="007133AB"/>
    <w:rsid w:val="0071371E"/>
    <w:rsid w:val="00713AEA"/>
    <w:rsid w:val="00714811"/>
    <w:rsid w:val="00714F2C"/>
    <w:rsid w:val="00716460"/>
    <w:rsid w:val="0072041A"/>
    <w:rsid w:val="00720D19"/>
    <w:rsid w:val="00721002"/>
    <w:rsid w:val="00722111"/>
    <w:rsid w:val="00722495"/>
    <w:rsid w:val="00722B36"/>
    <w:rsid w:val="007248AF"/>
    <w:rsid w:val="007249BA"/>
    <w:rsid w:val="00725118"/>
    <w:rsid w:val="00726AA8"/>
    <w:rsid w:val="00727EE4"/>
    <w:rsid w:val="007304EC"/>
    <w:rsid w:val="0073188D"/>
    <w:rsid w:val="00731C5E"/>
    <w:rsid w:val="00732540"/>
    <w:rsid w:val="00732867"/>
    <w:rsid w:val="00732DCF"/>
    <w:rsid w:val="00733628"/>
    <w:rsid w:val="00735E42"/>
    <w:rsid w:val="0074287F"/>
    <w:rsid w:val="0074437E"/>
    <w:rsid w:val="00745BD3"/>
    <w:rsid w:val="0074631B"/>
    <w:rsid w:val="007464E3"/>
    <w:rsid w:val="00750142"/>
    <w:rsid w:val="00750690"/>
    <w:rsid w:val="0075104C"/>
    <w:rsid w:val="0075170A"/>
    <w:rsid w:val="00751DD8"/>
    <w:rsid w:val="00751E8B"/>
    <w:rsid w:val="00755518"/>
    <w:rsid w:val="00755B45"/>
    <w:rsid w:val="00757C27"/>
    <w:rsid w:val="00761563"/>
    <w:rsid w:val="0076230F"/>
    <w:rsid w:val="007639BE"/>
    <w:rsid w:val="00763AE8"/>
    <w:rsid w:val="0076463C"/>
    <w:rsid w:val="00765C12"/>
    <w:rsid w:val="00766752"/>
    <w:rsid w:val="00766D96"/>
    <w:rsid w:val="00767BD9"/>
    <w:rsid w:val="00770467"/>
    <w:rsid w:val="007708BE"/>
    <w:rsid w:val="00770A6D"/>
    <w:rsid w:val="0077217F"/>
    <w:rsid w:val="0077288B"/>
    <w:rsid w:val="0077354D"/>
    <w:rsid w:val="00774BE9"/>
    <w:rsid w:val="007750BE"/>
    <w:rsid w:val="00775D3A"/>
    <w:rsid w:val="00776274"/>
    <w:rsid w:val="00777103"/>
    <w:rsid w:val="00780289"/>
    <w:rsid w:val="00781737"/>
    <w:rsid w:val="00782A39"/>
    <w:rsid w:val="00782FD5"/>
    <w:rsid w:val="0078374D"/>
    <w:rsid w:val="00786765"/>
    <w:rsid w:val="00787065"/>
    <w:rsid w:val="00790C11"/>
    <w:rsid w:val="007923EA"/>
    <w:rsid w:val="007923FD"/>
    <w:rsid w:val="0079294D"/>
    <w:rsid w:val="007931A2"/>
    <w:rsid w:val="00793D4F"/>
    <w:rsid w:val="00795089"/>
    <w:rsid w:val="00795EDD"/>
    <w:rsid w:val="00796424"/>
    <w:rsid w:val="00796A15"/>
    <w:rsid w:val="00796ABF"/>
    <w:rsid w:val="00797092"/>
    <w:rsid w:val="007A1F39"/>
    <w:rsid w:val="007A2963"/>
    <w:rsid w:val="007A5E82"/>
    <w:rsid w:val="007A5ECA"/>
    <w:rsid w:val="007A6005"/>
    <w:rsid w:val="007A6EC8"/>
    <w:rsid w:val="007A7B5F"/>
    <w:rsid w:val="007B06C6"/>
    <w:rsid w:val="007B105D"/>
    <w:rsid w:val="007B1BB0"/>
    <w:rsid w:val="007B2624"/>
    <w:rsid w:val="007B278D"/>
    <w:rsid w:val="007B3646"/>
    <w:rsid w:val="007B47F2"/>
    <w:rsid w:val="007B5275"/>
    <w:rsid w:val="007B6797"/>
    <w:rsid w:val="007B6E8B"/>
    <w:rsid w:val="007B6F00"/>
    <w:rsid w:val="007B70C4"/>
    <w:rsid w:val="007B784C"/>
    <w:rsid w:val="007B7C63"/>
    <w:rsid w:val="007B7F8C"/>
    <w:rsid w:val="007C0062"/>
    <w:rsid w:val="007C11A7"/>
    <w:rsid w:val="007C152B"/>
    <w:rsid w:val="007C157E"/>
    <w:rsid w:val="007C2046"/>
    <w:rsid w:val="007C28A3"/>
    <w:rsid w:val="007C3399"/>
    <w:rsid w:val="007C447D"/>
    <w:rsid w:val="007C5535"/>
    <w:rsid w:val="007C5D40"/>
    <w:rsid w:val="007C676A"/>
    <w:rsid w:val="007C69D8"/>
    <w:rsid w:val="007C7072"/>
    <w:rsid w:val="007D1CF0"/>
    <w:rsid w:val="007D2155"/>
    <w:rsid w:val="007D2924"/>
    <w:rsid w:val="007D35E5"/>
    <w:rsid w:val="007D36F3"/>
    <w:rsid w:val="007D45FF"/>
    <w:rsid w:val="007D4C38"/>
    <w:rsid w:val="007D5285"/>
    <w:rsid w:val="007D6A8A"/>
    <w:rsid w:val="007D7613"/>
    <w:rsid w:val="007D77CF"/>
    <w:rsid w:val="007D7DF9"/>
    <w:rsid w:val="007E05E2"/>
    <w:rsid w:val="007E0E91"/>
    <w:rsid w:val="007E1D09"/>
    <w:rsid w:val="007E21CC"/>
    <w:rsid w:val="007E2893"/>
    <w:rsid w:val="007E3974"/>
    <w:rsid w:val="007E52A5"/>
    <w:rsid w:val="007E61A5"/>
    <w:rsid w:val="007E754C"/>
    <w:rsid w:val="007E766D"/>
    <w:rsid w:val="007F086C"/>
    <w:rsid w:val="007F2BF7"/>
    <w:rsid w:val="007F2D66"/>
    <w:rsid w:val="007F3BFD"/>
    <w:rsid w:val="007F3DEA"/>
    <w:rsid w:val="007F508E"/>
    <w:rsid w:val="007F50A8"/>
    <w:rsid w:val="007F57C6"/>
    <w:rsid w:val="007F5826"/>
    <w:rsid w:val="007F5D2C"/>
    <w:rsid w:val="007F6595"/>
    <w:rsid w:val="007F7404"/>
    <w:rsid w:val="007F75D2"/>
    <w:rsid w:val="007F77F4"/>
    <w:rsid w:val="007F7CAA"/>
    <w:rsid w:val="00800A1E"/>
    <w:rsid w:val="00800F93"/>
    <w:rsid w:val="008026A4"/>
    <w:rsid w:val="00804146"/>
    <w:rsid w:val="00804AB7"/>
    <w:rsid w:val="008051C3"/>
    <w:rsid w:val="008052A4"/>
    <w:rsid w:val="008052DF"/>
    <w:rsid w:val="008058DA"/>
    <w:rsid w:val="008069D2"/>
    <w:rsid w:val="008074B4"/>
    <w:rsid w:val="00810BD4"/>
    <w:rsid w:val="00811115"/>
    <w:rsid w:val="00812BA1"/>
    <w:rsid w:val="00812BFB"/>
    <w:rsid w:val="008131B4"/>
    <w:rsid w:val="00813D72"/>
    <w:rsid w:val="00814620"/>
    <w:rsid w:val="00817133"/>
    <w:rsid w:val="00821C57"/>
    <w:rsid w:val="00822166"/>
    <w:rsid w:val="008228ED"/>
    <w:rsid w:val="00822CE8"/>
    <w:rsid w:val="00823034"/>
    <w:rsid w:val="008230D7"/>
    <w:rsid w:val="00823743"/>
    <w:rsid w:val="00824ED9"/>
    <w:rsid w:val="0082507D"/>
    <w:rsid w:val="0082589D"/>
    <w:rsid w:val="00825FBF"/>
    <w:rsid w:val="008320BE"/>
    <w:rsid w:val="008333EA"/>
    <w:rsid w:val="00833CD1"/>
    <w:rsid w:val="008365F8"/>
    <w:rsid w:val="00836B1D"/>
    <w:rsid w:val="00840121"/>
    <w:rsid w:val="00840471"/>
    <w:rsid w:val="008407F0"/>
    <w:rsid w:val="0084363B"/>
    <w:rsid w:val="0084578E"/>
    <w:rsid w:val="00845A53"/>
    <w:rsid w:val="00845E81"/>
    <w:rsid w:val="00846137"/>
    <w:rsid w:val="00846E2F"/>
    <w:rsid w:val="00850227"/>
    <w:rsid w:val="0085122C"/>
    <w:rsid w:val="00851E7C"/>
    <w:rsid w:val="00852A92"/>
    <w:rsid w:val="00853458"/>
    <w:rsid w:val="00853A3B"/>
    <w:rsid w:val="00854F89"/>
    <w:rsid w:val="00855574"/>
    <w:rsid w:val="00856DF0"/>
    <w:rsid w:val="0085717B"/>
    <w:rsid w:val="00857830"/>
    <w:rsid w:val="008604C9"/>
    <w:rsid w:val="00860DE7"/>
    <w:rsid w:val="008640D4"/>
    <w:rsid w:val="008662A8"/>
    <w:rsid w:val="00867624"/>
    <w:rsid w:val="00870CFD"/>
    <w:rsid w:val="00870DB1"/>
    <w:rsid w:val="00872E0D"/>
    <w:rsid w:val="00873EFF"/>
    <w:rsid w:val="00874E58"/>
    <w:rsid w:val="00875735"/>
    <w:rsid w:val="00875A69"/>
    <w:rsid w:val="00875E6F"/>
    <w:rsid w:val="0087625F"/>
    <w:rsid w:val="008765D9"/>
    <w:rsid w:val="00877253"/>
    <w:rsid w:val="00877472"/>
    <w:rsid w:val="00877F28"/>
    <w:rsid w:val="00877F48"/>
    <w:rsid w:val="00880A10"/>
    <w:rsid w:val="00881423"/>
    <w:rsid w:val="0088321D"/>
    <w:rsid w:val="0088397A"/>
    <w:rsid w:val="00883BBC"/>
    <w:rsid w:val="00884267"/>
    <w:rsid w:val="00884C67"/>
    <w:rsid w:val="00885A82"/>
    <w:rsid w:val="00885D76"/>
    <w:rsid w:val="0088623B"/>
    <w:rsid w:val="0088672F"/>
    <w:rsid w:val="00886E9F"/>
    <w:rsid w:val="00886EF5"/>
    <w:rsid w:val="0088706B"/>
    <w:rsid w:val="0088789A"/>
    <w:rsid w:val="00887947"/>
    <w:rsid w:val="0089053D"/>
    <w:rsid w:val="00891D95"/>
    <w:rsid w:val="008933AB"/>
    <w:rsid w:val="00896218"/>
    <w:rsid w:val="00897A03"/>
    <w:rsid w:val="008A00BF"/>
    <w:rsid w:val="008A1445"/>
    <w:rsid w:val="008A21C5"/>
    <w:rsid w:val="008A2D3E"/>
    <w:rsid w:val="008A2F57"/>
    <w:rsid w:val="008A3BA3"/>
    <w:rsid w:val="008A415C"/>
    <w:rsid w:val="008A5081"/>
    <w:rsid w:val="008B0B1F"/>
    <w:rsid w:val="008B0E5B"/>
    <w:rsid w:val="008B179E"/>
    <w:rsid w:val="008B1C9B"/>
    <w:rsid w:val="008B3016"/>
    <w:rsid w:val="008B3A54"/>
    <w:rsid w:val="008B3A9C"/>
    <w:rsid w:val="008B3E93"/>
    <w:rsid w:val="008B4C9A"/>
    <w:rsid w:val="008B7357"/>
    <w:rsid w:val="008B799B"/>
    <w:rsid w:val="008C3315"/>
    <w:rsid w:val="008C3943"/>
    <w:rsid w:val="008C396C"/>
    <w:rsid w:val="008C4C0F"/>
    <w:rsid w:val="008C54D7"/>
    <w:rsid w:val="008C67E1"/>
    <w:rsid w:val="008C6B06"/>
    <w:rsid w:val="008D12BD"/>
    <w:rsid w:val="008D13EB"/>
    <w:rsid w:val="008D3FAC"/>
    <w:rsid w:val="008D5C27"/>
    <w:rsid w:val="008D5F0A"/>
    <w:rsid w:val="008E0585"/>
    <w:rsid w:val="008E0881"/>
    <w:rsid w:val="008E176C"/>
    <w:rsid w:val="008E2A1E"/>
    <w:rsid w:val="008E3171"/>
    <w:rsid w:val="008E4AB6"/>
    <w:rsid w:val="008E684B"/>
    <w:rsid w:val="008E6AB7"/>
    <w:rsid w:val="008E70C9"/>
    <w:rsid w:val="008F03B0"/>
    <w:rsid w:val="008F1441"/>
    <w:rsid w:val="008F1754"/>
    <w:rsid w:val="008F1B23"/>
    <w:rsid w:val="008F1FE8"/>
    <w:rsid w:val="008F25FA"/>
    <w:rsid w:val="008F2A8F"/>
    <w:rsid w:val="008F2E66"/>
    <w:rsid w:val="008F30A9"/>
    <w:rsid w:val="008F471D"/>
    <w:rsid w:val="008F57E1"/>
    <w:rsid w:val="008F5E47"/>
    <w:rsid w:val="008F6075"/>
    <w:rsid w:val="008F7CE5"/>
    <w:rsid w:val="00903583"/>
    <w:rsid w:val="0090370D"/>
    <w:rsid w:val="0090540A"/>
    <w:rsid w:val="0090595D"/>
    <w:rsid w:val="00905974"/>
    <w:rsid w:val="00906374"/>
    <w:rsid w:val="00910A78"/>
    <w:rsid w:val="0091175D"/>
    <w:rsid w:val="00912432"/>
    <w:rsid w:val="0091447E"/>
    <w:rsid w:val="00914781"/>
    <w:rsid w:val="009153B0"/>
    <w:rsid w:val="009161CE"/>
    <w:rsid w:val="0091665C"/>
    <w:rsid w:val="00917745"/>
    <w:rsid w:val="0091774E"/>
    <w:rsid w:val="00917EC0"/>
    <w:rsid w:val="009200E9"/>
    <w:rsid w:val="0092037B"/>
    <w:rsid w:val="00920811"/>
    <w:rsid w:val="0092383F"/>
    <w:rsid w:val="00924566"/>
    <w:rsid w:val="00924964"/>
    <w:rsid w:val="00925993"/>
    <w:rsid w:val="00925C29"/>
    <w:rsid w:val="00926EE2"/>
    <w:rsid w:val="0093011F"/>
    <w:rsid w:val="00930662"/>
    <w:rsid w:val="00930D40"/>
    <w:rsid w:val="009324EB"/>
    <w:rsid w:val="00932827"/>
    <w:rsid w:val="00933226"/>
    <w:rsid w:val="00933B37"/>
    <w:rsid w:val="00934055"/>
    <w:rsid w:val="00936ABF"/>
    <w:rsid w:val="00936BAB"/>
    <w:rsid w:val="00940EB5"/>
    <w:rsid w:val="00941744"/>
    <w:rsid w:val="00941ADA"/>
    <w:rsid w:val="00941EA3"/>
    <w:rsid w:val="009425D1"/>
    <w:rsid w:val="009439C3"/>
    <w:rsid w:val="00944BCB"/>
    <w:rsid w:val="00945689"/>
    <w:rsid w:val="00945842"/>
    <w:rsid w:val="00946208"/>
    <w:rsid w:val="00947C44"/>
    <w:rsid w:val="00947DCF"/>
    <w:rsid w:val="00951643"/>
    <w:rsid w:val="00953D97"/>
    <w:rsid w:val="00953F98"/>
    <w:rsid w:val="00955BC4"/>
    <w:rsid w:val="009569BA"/>
    <w:rsid w:val="00956A57"/>
    <w:rsid w:val="009571DB"/>
    <w:rsid w:val="00957E9E"/>
    <w:rsid w:val="0096041D"/>
    <w:rsid w:val="00960573"/>
    <w:rsid w:val="00961F83"/>
    <w:rsid w:val="00963708"/>
    <w:rsid w:val="00966260"/>
    <w:rsid w:val="00967406"/>
    <w:rsid w:val="00971E00"/>
    <w:rsid w:val="0097270B"/>
    <w:rsid w:val="00972777"/>
    <w:rsid w:val="00972BD5"/>
    <w:rsid w:val="009738D3"/>
    <w:rsid w:val="0097498A"/>
    <w:rsid w:val="00974DF7"/>
    <w:rsid w:val="00975385"/>
    <w:rsid w:val="00975839"/>
    <w:rsid w:val="00976102"/>
    <w:rsid w:val="009763FB"/>
    <w:rsid w:val="00977848"/>
    <w:rsid w:val="0098148E"/>
    <w:rsid w:val="00981DEA"/>
    <w:rsid w:val="00985534"/>
    <w:rsid w:val="0098605A"/>
    <w:rsid w:val="00986B14"/>
    <w:rsid w:val="00987220"/>
    <w:rsid w:val="0098747B"/>
    <w:rsid w:val="00987FAA"/>
    <w:rsid w:val="009920C3"/>
    <w:rsid w:val="0099280D"/>
    <w:rsid w:val="009928BB"/>
    <w:rsid w:val="00993736"/>
    <w:rsid w:val="00996A25"/>
    <w:rsid w:val="0099755F"/>
    <w:rsid w:val="009A05B6"/>
    <w:rsid w:val="009A080B"/>
    <w:rsid w:val="009A0CE1"/>
    <w:rsid w:val="009A19BD"/>
    <w:rsid w:val="009A1F07"/>
    <w:rsid w:val="009A21E5"/>
    <w:rsid w:val="009A27DE"/>
    <w:rsid w:val="009A3032"/>
    <w:rsid w:val="009A32B7"/>
    <w:rsid w:val="009A32C7"/>
    <w:rsid w:val="009A4896"/>
    <w:rsid w:val="009B00E2"/>
    <w:rsid w:val="009B0E38"/>
    <w:rsid w:val="009B2202"/>
    <w:rsid w:val="009B3F6C"/>
    <w:rsid w:val="009B4A5D"/>
    <w:rsid w:val="009B53C6"/>
    <w:rsid w:val="009B5B17"/>
    <w:rsid w:val="009B5BC3"/>
    <w:rsid w:val="009B6355"/>
    <w:rsid w:val="009B66EF"/>
    <w:rsid w:val="009B7782"/>
    <w:rsid w:val="009C0B86"/>
    <w:rsid w:val="009C0EA1"/>
    <w:rsid w:val="009C11F4"/>
    <w:rsid w:val="009C15BC"/>
    <w:rsid w:val="009C1BDC"/>
    <w:rsid w:val="009C47EB"/>
    <w:rsid w:val="009C4C53"/>
    <w:rsid w:val="009C5056"/>
    <w:rsid w:val="009C6459"/>
    <w:rsid w:val="009C77F2"/>
    <w:rsid w:val="009D00C3"/>
    <w:rsid w:val="009D049E"/>
    <w:rsid w:val="009D0E58"/>
    <w:rsid w:val="009D1FAD"/>
    <w:rsid w:val="009D2F82"/>
    <w:rsid w:val="009D7DC2"/>
    <w:rsid w:val="009E0E01"/>
    <w:rsid w:val="009E0E2A"/>
    <w:rsid w:val="009E158B"/>
    <w:rsid w:val="009E1623"/>
    <w:rsid w:val="009E35F3"/>
    <w:rsid w:val="009E5E9E"/>
    <w:rsid w:val="009E6169"/>
    <w:rsid w:val="009E67CB"/>
    <w:rsid w:val="009F00A5"/>
    <w:rsid w:val="009F03FA"/>
    <w:rsid w:val="009F1CF6"/>
    <w:rsid w:val="009F4A32"/>
    <w:rsid w:val="00A00E87"/>
    <w:rsid w:val="00A010B5"/>
    <w:rsid w:val="00A03786"/>
    <w:rsid w:val="00A03926"/>
    <w:rsid w:val="00A03ED5"/>
    <w:rsid w:val="00A04061"/>
    <w:rsid w:val="00A06306"/>
    <w:rsid w:val="00A0641C"/>
    <w:rsid w:val="00A06CE7"/>
    <w:rsid w:val="00A072CC"/>
    <w:rsid w:val="00A07478"/>
    <w:rsid w:val="00A10157"/>
    <w:rsid w:val="00A10B1A"/>
    <w:rsid w:val="00A117FE"/>
    <w:rsid w:val="00A11AA2"/>
    <w:rsid w:val="00A11C67"/>
    <w:rsid w:val="00A125B6"/>
    <w:rsid w:val="00A1303D"/>
    <w:rsid w:val="00A148D9"/>
    <w:rsid w:val="00A1671D"/>
    <w:rsid w:val="00A16DE0"/>
    <w:rsid w:val="00A17650"/>
    <w:rsid w:val="00A17857"/>
    <w:rsid w:val="00A206FE"/>
    <w:rsid w:val="00A209C7"/>
    <w:rsid w:val="00A20F48"/>
    <w:rsid w:val="00A214E5"/>
    <w:rsid w:val="00A21DD0"/>
    <w:rsid w:val="00A22020"/>
    <w:rsid w:val="00A22216"/>
    <w:rsid w:val="00A229E0"/>
    <w:rsid w:val="00A23ACB"/>
    <w:rsid w:val="00A240FF"/>
    <w:rsid w:val="00A2494B"/>
    <w:rsid w:val="00A26D03"/>
    <w:rsid w:val="00A27178"/>
    <w:rsid w:val="00A273CE"/>
    <w:rsid w:val="00A30C53"/>
    <w:rsid w:val="00A30EDE"/>
    <w:rsid w:val="00A3155D"/>
    <w:rsid w:val="00A32208"/>
    <w:rsid w:val="00A35F5C"/>
    <w:rsid w:val="00A363B3"/>
    <w:rsid w:val="00A367E6"/>
    <w:rsid w:val="00A374FC"/>
    <w:rsid w:val="00A4220D"/>
    <w:rsid w:val="00A4281E"/>
    <w:rsid w:val="00A4340C"/>
    <w:rsid w:val="00A43F86"/>
    <w:rsid w:val="00A4449F"/>
    <w:rsid w:val="00A44892"/>
    <w:rsid w:val="00A448BA"/>
    <w:rsid w:val="00A44914"/>
    <w:rsid w:val="00A46940"/>
    <w:rsid w:val="00A508E5"/>
    <w:rsid w:val="00A50A31"/>
    <w:rsid w:val="00A51077"/>
    <w:rsid w:val="00A52724"/>
    <w:rsid w:val="00A52A6E"/>
    <w:rsid w:val="00A53216"/>
    <w:rsid w:val="00A539C0"/>
    <w:rsid w:val="00A54D95"/>
    <w:rsid w:val="00A54DBB"/>
    <w:rsid w:val="00A552F8"/>
    <w:rsid w:val="00A553E9"/>
    <w:rsid w:val="00A55AE3"/>
    <w:rsid w:val="00A57782"/>
    <w:rsid w:val="00A57FC8"/>
    <w:rsid w:val="00A60C6B"/>
    <w:rsid w:val="00A61CF9"/>
    <w:rsid w:val="00A62F66"/>
    <w:rsid w:val="00A6300E"/>
    <w:rsid w:val="00A63B94"/>
    <w:rsid w:val="00A64AE5"/>
    <w:rsid w:val="00A64E23"/>
    <w:rsid w:val="00A65BF3"/>
    <w:rsid w:val="00A7047C"/>
    <w:rsid w:val="00A71491"/>
    <w:rsid w:val="00A72B59"/>
    <w:rsid w:val="00A73D72"/>
    <w:rsid w:val="00A73F09"/>
    <w:rsid w:val="00A74066"/>
    <w:rsid w:val="00A745BC"/>
    <w:rsid w:val="00A754EB"/>
    <w:rsid w:val="00A7594F"/>
    <w:rsid w:val="00A77179"/>
    <w:rsid w:val="00A8093A"/>
    <w:rsid w:val="00A82F0E"/>
    <w:rsid w:val="00A83C1A"/>
    <w:rsid w:val="00A843B7"/>
    <w:rsid w:val="00A8552D"/>
    <w:rsid w:val="00A865CE"/>
    <w:rsid w:val="00A87826"/>
    <w:rsid w:val="00A87B93"/>
    <w:rsid w:val="00A90C72"/>
    <w:rsid w:val="00A91526"/>
    <w:rsid w:val="00A92AD1"/>
    <w:rsid w:val="00A93739"/>
    <w:rsid w:val="00A964B8"/>
    <w:rsid w:val="00A97818"/>
    <w:rsid w:val="00A97848"/>
    <w:rsid w:val="00AA0101"/>
    <w:rsid w:val="00AA1E0E"/>
    <w:rsid w:val="00AA20CA"/>
    <w:rsid w:val="00AA3B9F"/>
    <w:rsid w:val="00AA4CB9"/>
    <w:rsid w:val="00AA4EB5"/>
    <w:rsid w:val="00AA50D0"/>
    <w:rsid w:val="00AA6437"/>
    <w:rsid w:val="00AA6C74"/>
    <w:rsid w:val="00AB0590"/>
    <w:rsid w:val="00AB2CF1"/>
    <w:rsid w:val="00AB31AC"/>
    <w:rsid w:val="00AB4028"/>
    <w:rsid w:val="00AB52CE"/>
    <w:rsid w:val="00AB7028"/>
    <w:rsid w:val="00AB7390"/>
    <w:rsid w:val="00AB7A01"/>
    <w:rsid w:val="00AC0047"/>
    <w:rsid w:val="00AC3383"/>
    <w:rsid w:val="00AC43FD"/>
    <w:rsid w:val="00AC5CB8"/>
    <w:rsid w:val="00AC630A"/>
    <w:rsid w:val="00AC7F2B"/>
    <w:rsid w:val="00AD0BEF"/>
    <w:rsid w:val="00AD4B21"/>
    <w:rsid w:val="00AD65B8"/>
    <w:rsid w:val="00AD7F95"/>
    <w:rsid w:val="00AE09D2"/>
    <w:rsid w:val="00AE270D"/>
    <w:rsid w:val="00AE2F32"/>
    <w:rsid w:val="00AF12DE"/>
    <w:rsid w:val="00AF1EE9"/>
    <w:rsid w:val="00AF2C6A"/>
    <w:rsid w:val="00AF3700"/>
    <w:rsid w:val="00AF3E93"/>
    <w:rsid w:val="00AF4A28"/>
    <w:rsid w:val="00AF69B7"/>
    <w:rsid w:val="00AF6CD7"/>
    <w:rsid w:val="00B0165C"/>
    <w:rsid w:val="00B01E1E"/>
    <w:rsid w:val="00B03094"/>
    <w:rsid w:val="00B0344E"/>
    <w:rsid w:val="00B054D3"/>
    <w:rsid w:val="00B05916"/>
    <w:rsid w:val="00B10412"/>
    <w:rsid w:val="00B107F4"/>
    <w:rsid w:val="00B10F14"/>
    <w:rsid w:val="00B11812"/>
    <w:rsid w:val="00B12659"/>
    <w:rsid w:val="00B12E9D"/>
    <w:rsid w:val="00B1554E"/>
    <w:rsid w:val="00B156E3"/>
    <w:rsid w:val="00B1576B"/>
    <w:rsid w:val="00B1639D"/>
    <w:rsid w:val="00B1772B"/>
    <w:rsid w:val="00B17ABB"/>
    <w:rsid w:val="00B20EC1"/>
    <w:rsid w:val="00B2145A"/>
    <w:rsid w:val="00B21FE3"/>
    <w:rsid w:val="00B224E6"/>
    <w:rsid w:val="00B22776"/>
    <w:rsid w:val="00B230FC"/>
    <w:rsid w:val="00B23642"/>
    <w:rsid w:val="00B23C8C"/>
    <w:rsid w:val="00B24127"/>
    <w:rsid w:val="00B27151"/>
    <w:rsid w:val="00B30C1F"/>
    <w:rsid w:val="00B30EB1"/>
    <w:rsid w:val="00B31DF9"/>
    <w:rsid w:val="00B31EEF"/>
    <w:rsid w:val="00B325B8"/>
    <w:rsid w:val="00B32A07"/>
    <w:rsid w:val="00B337E0"/>
    <w:rsid w:val="00B346AE"/>
    <w:rsid w:val="00B35F02"/>
    <w:rsid w:val="00B36DCD"/>
    <w:rsid w:val="00B401EE"/>
    <w:rsid w:val="00B41C33"/>
    <w:rsid w:val="00B426C3"/>
    <w:rsid w:val="00B4355D"/>
    <w:rsid w:val="00B43F20"/>
    <w:rsid w:val="00B44317"/>
    <w:rsid w:val="00B44768"/>
    <w:rsid w:val="00B45958"/>
    <w:rsid w:val="00B46251"/>
    <w:rsid w:val="00B46A91"/>
    <w:rsid w:val="00B4744D"/>
    <w:rsid w:val="00B476B4"/>
    <w:rsid w:val="00B4789B"/>
    <w:rsid w:val="00B51C49"/>
    <w:rsid w:val="00B51E40"/>
    <w:rsid w:val="00B522D0"/>
    <w:rsid w:val="00B5280F"/>
    <w:rsid w:val="00B529DB"/>
    <w:rsid w:val="00B539BE"/>
    <w:rsid w:val="00B559B9"/>
    <w:rsid w:val="00B55B0F"/>
    <w:rsid w:val="00B55BE1"/>
    <w:rsid w:val="00B55DCA"/>
    <w:rsid w:val="00B56FE1"/>
    <w:rsid w:val="00B57373"/>
    <w:rsid w:val="00B5783F"/>
    <w:rsid w:val="00B60126"/>
    <w:rsid w:val="00B62445"/>
    <w:rsid w:val="00B6301D"/>
    <w:rsid w:val="00B631C4"/>
    <w:rsid w:val="00B63628"/>
    <w:rsid w:val="00B651D4"/>
    <w:rsid w:val="00B66797"/>
    <w:rsid w:val="00B72135"/>
    <w:rsid w:val="00B731DD"/>
    <w:rsid w:val="00B73403"/>
    <w:rsid w:val="00B74353"/>
    <w:rsid w:val="00B76026"/>
    <w:rsid w:val="00B77F33"/>
    <w:rsid w:val="00B80E5A"/>
    <w:rsid w:val="00B80FC0"/>
    <w:rsid w:val="00B81062"/>
    <w:rsid w:val="00B832F0"/>
    <w:rsid w:val="00B85942"/>
    <w:rsid w:val="00B86C16"/>
    <w:rsid w:val="00B91E02"/>
    <w:rsid w:val="00B92466"/>
    <w:rsid w:val="00B927E3"/>
    <w:rsid w:val="00B9414B"/>
    <w:rsid w:val="00B94777"/>
    <w:rsid w:val="00B95643"/>
    <w:rsid w:val="00B95B8F"/>
    <w:rsid w:val="00B95D34"/>
    <w:rsid w:val="00B96052"/>
    <w:rsid w:val="00B9686D"/>
    <w:rsid w:val="00B97410"/>
    <w:rsid w:val="00B979A3"/>
    <w:rsid w:val="00BA03CE"/>
    <w:rsid w:val="00BA05B0"/>
    <w:rsid w:val="00BA2B24"/>
    <w:rsid w:val="00BA2D3E"/>
    <w:rsid w:val="00BA32A3"/>
    <w:rsid w:val="00BA371E"/>
    <w:rsid w:val="00BA3B99"/>
    <w:rsid w:val="00BA3D8A"/>
    <w:rsid w:val="00BA517E"/>
    <w:rsid w:val="00BA70F2"/>
    <w:rsid w:val="00BB0046"/>
    <w:rsid w:val="00BB2CF3"/>
    <w:rsid w:val="00BB334D"/>
    <w:rsid w:val="00BB3B84"/>
    <w:rsid w:val="00BB5D7C"/>
    <w:rsid w:val="00BB6DDD"/>
    <w:rsid w:val="00BB6F25"/>
    <w:rsid w:val="00BC03B1"/>
    <w:rsid w:val="00BC060E"/>
    <w:rsid w:val="00BC1D30"/>
    <w:rsid w:val="00BC235D"/>
    <w:rsid w:val="00BC28E2"/>
    <w:rsid w:val="00BC28F4"/>
    <w:rsid w:val="00BC2C3B"/>
    <w:rsid w:val="00BC5E73"/>
    <w:rsid w:val="00BC7302"/>
    <w:rsid w:val="00BD06CF"/>
    <w:rsid w:val="00BD30F3"/>
    <w:rsid w:val="00BD3618"/>
    <w:rsid w:val="00BD3831"/>
    <w:rsid w:val="00BD4B00"/>
    <w:rsid w:val="00BD6ECC"/>
    <w:rsid w:val="00BE0366"/>
    <w:rsid w:val="00BE0FF5"/>
    <w:rsid w:val="00BE2007"/>
    <w:rsid w:val="00BE2B94"/>
    <w:rsid w:val="00BE2FF6"/>
    <w:rsid w:val="00BE3573"/>
    <w:rsid w:val="00BE54AF"/>
    <w:rsid w:val="00BE6191"/>
    <w:rsid w:val="00BE6E98"/>
    <w:rsid w:val="00BE7894"/>
    <w:rsid w:val="00BE78CD"/>
    <w:rsid w:val="00BF0C06"/>
    <w:rsid w:val="00BF0CAE"/>
    <w:rsid w:val="00BF5711"/>
    <w:rsid w:val="00BF5CFA"/>
    <w:rsid w:val="00BF667C"/>
    <w:rsid w:val="00C000EC"/>
    <w:rsid w:val="00C01778"/>
    <w:rsid w:val="00C01A85"/>
    <w:rsid w:val="00C01F79"/>
    <w:rsid w:val="00C03356"/>
    <w:rsid w:val="00C04909"/>
    <w:rsid w:val="00C05B4E"/>
    <w:rsid w:val="00C05D64"/>
    <w:rsid w:val="00C062A5"/>
    <w:rsid w:val="00C07D36"/>
    <w:rsid w:val="00C1247B"/>
    <w:rsid w:val="00C1289A"/>
    <w:rsid w:val="00C12FD1"/>
    <w:rsid w:val="00C13245"/>
    <w:rsid w:val="00C13340"/>
    <w:rsid w:val="00C143EE"/>
    <w:rsid w:val="00C15BD5"/>
    <w:rsid w:val="00C15E59"/>
    <w:rsid w:val="00C17780"/>
    <w:rsid w:val="00C17D4A"/>
    <w:rsid w:val="00C22F52"/>
    <w:rsid w:val="00C254E5"/>
    <w:rsid w:val="00C2582C"/>
    <w:rsid w:val="00C30106"/>
    <w:rsid w:val="00C308B8"/>
    <w:rsid w:val="00C331F5"/>
    <w:rsid w:val="00C33816"/>
    <w:rsid w:val="00C33F61"/>
    <w:rsid w:val="00C34041"/>
    <w:rsid w:val="00C35C32"/>
    <w:rsid w:val="00C367C6"/>
    <w:rsid w:val="00C3687F"/>
    <w:rsid w:val="00C36D30"/>
    <w:rsid w:val="00C3724B"/>
    <w:rsid w:val="00C37813"/>
    <w:rsid w:val="00C37878"/>
    <w:rsid w:val="00C3791A"/>
    <w:rsid w:val="00C40181"/>
    <w:rsid w:val="00C40710"/>
    <w:rsid w:val="00C412DC"/>
    <w:rsid w:val="00C446EC"/>
    <w:rsid w:val="00C4484F"/>
    <w:rsid w:val="00C450FB"/>
    <w:rsid w:val="00C47946"/>
    <w:rsid w:val="00C47CF0"/>
    <w:rsid w:val="00C501DE"/>
    <w:rsid w:val="00C50B8D"/>
    <w:rsid w:val="00C5234E"/>
    <w:rsid w:val="00C528B5"/>
    <w:rsid w:val="00C53082"/>
    <w:rsid w:val="00C55A54"/>
    <w:rsid w:val="00C55C52"/>
    <w:rsid w:val="00C5640E"/>
    <w:rsid w:val="00C57243"/>
    <w:rsid w:val="00C61F46"/>
    <w:rsid w:val="00C620B6"/>
    <w:rsid w:val="00C620FA"/>
    <w:rsid w:val="00C623F7"/>
    <w:rsid w:val="00C627C6"/>
    <w:rsid w:val="00C63D4E"/>
    <w:rsid w:val="00C64B20"/>
    <w:rsid w:val="00C650B9"/>
    <w:rsid w:val="00C667A5"/>
    <w:rsid w:val="00C711B5"/>
    <w:rsid w:val="00C735D0"/>
    <w:rsid w:val="00C7462B"/>
    <w:rsid w:val="00C77121"/>
    <w:rsid w:val="00C77367"/>
    <w:rsid w:val="00C77851"/>
    <w:rsid w:val="00C81DB3"/>
    <w:rsid w:val="00C82369"/>
    <w:rsid w:val="00C842EA"/>
    <w:rsid w:val="00C85C5D"/>
    <w:rsid w:val="00C85DEA"/>
    <w:rsid w:val="00C866CD"/>
    <w:rsid w:val="00C87607"/>
    <w:rsid w:val="00C87645"/>
    <w:rsid w:val="00C90F31"/>
    <w:rsid w:val="00C91537"/>
    <w:rsid w:val="00C91658"/>
    <w:rsid w:val="00C92969"/>
    <w:rsid w:val="00C92B1B"/>
    <w:rsid w:val="00C9379C"/>
    <w:rsid w:val="00C93AD6"/>
    <w:rsid w:val="00C94012"/>
    <w:rsid w:val="00C9429C"/>
    <w:rsid w:val="00C947BB"/>
    <w:rsid w:val="00C952F6"/>
    <w:rsid w:val="00C95317"/>
    <w:rsid w:val="00C9541E"/>
    <w:rsid w:val="00C95A86"/>
    <w:rsid w:val="00C97654"/>
    <w:rsid w:val="00C97A5C"/>
    <w:rsid w:val="00C97B35"/>
    <w:rsid w:val="00CA0478"/>
    <w:rsid w:val="00CA04C4"/>
    <w:rsid w:val="00CA1116"/>
    <w:rsid w:val="00CA31B0"/>
    <w:rsid w:val="00CA479E"/>
    <w:rsid w:val="00CA4E5D"/>
    <w:rsid w:val="00CA5B6C"/>
    <w:rsid w:val="00CA679E"/>
    <w:rsid w:val="00CA67D5"/>
    <w:rsid w:val="00CA6A4C"/>
    <w:rsid w:val="00CA6D7E"/>
    <w:rsid w:val="00CB1822"/>
    <w:rsid w:val="00CB213F"/>
    <w:rsid w:val="00CB2A34"/>
    <w:rsid w:val="00CB378C"/>
    <w:rsid w:val="00CB3F41"/>
    <w:rsid w:val="00CB44F0"/>
    <w:rsid w:val="00CB4B73"/>
    <w:rsid w:val="00CB4FF4"/>
    <w:rsid w:val="00CB504D"/>
    <w:rsid w:val="00CB5ADC"/>
    <w:rsid w:val="00CB5D0D"/>
    <w:rsid w:val="00CB69B4"/>
    <w:rsid w:val="00CB6DA4"/>
    <w:rsid w:val="00CB7EF1"/>
    <w:rsid w:val="00CC0D2C"/>
    <w:rsid w:val="00CC12C4"/>
    <w:rsid w:val="00CC16E1"/>
    <w:rsid w:val="00CC481D"/>
    <w:rsid w:val="00CC5195"/>
    <w:rsid w:val="00CC529F"/>
    <w:rsid w:val="00CC55C3"/>
    <w:rsid w:val="00CC627E"/>
    <w:rsid w:val="00CC6815"/>
    <w:rsid w:val="00CC6944"/>
    <w:rsid w:val="00CC6D5B"/>
    <w:rsid w:val="00CD0D27"/>
    <w:rsid w:val="00CD1544"/>
    <w:rsid w:val="00CD2562"/>
    <w:rsid w:val="00CD3444"/>
    <w:rsid w:val="00CD4618"/>
    <w:rsid w:val="00CD590D"/>
    <w:rsid w:val="00CD6EA6"/>
    <w:rsid w:val="00CD7023"/>
    <w:rsid w:val="00CE10AE"/>
    <w:rsid w:val="00CE3D8D"/>
    <w:rsid w:val="00CE52E9"/>
    <w:rsid w:val="00CE6D4B"/>
    <w:rsid w:val="00CF15A7"/>
    <w:rsid w:val="00CF172D"/>
    <w:rsid w:val="00CF1A2E"/>
    <w:rsid w:val="00CF3B9B"/>
    <w:rsid w:val="00CF451E"/>
    <w:rsid w:val="00CF4B74"/>
    <w:rsid w:val="00CF4BC9"/>
    <w:rsid w:val="00CF5749"/>
    <w:rsid w:val="00CF5A1C"/>
    <w:rsid w:val="00D004B0"/>
    <w:rsid w:val="00D033E3"/>
    <w:rsid w:val="00D03FF9"/>
    <w:rsid w:val="00D05FB4"/>
    <w:rsid w:val="00D06BDF"/>
    <w:rsid w:val="00D07129"/>
    <w:rsid w:val="00D076C6"/>
    <w:rsid w:val="00D11296"/>
    <w:rsid w:val="00D1164E"/>
    <w:rsid w:val="00D12B7C"/>
    <w:rsid w:val="00D12EE3"/>
    <w:rsid w:val="00D12FE4"/>
    <w:rsid w:val="00D155CE"/>
    <w:rsid w:val="00D17912"/>
    <w:rsid w:val="00D201EF"/>
    <w:rsid w:val="00D20B1A"/>
    <w:rsid w:val="00D20D48"/>
    <w:rsid w:val="00D212C6"/>
    <w:rsid w:val="00D22424"/>
    <w:rsid w:val="00D22849"/>
    <w:rsid w:val="00D2415E"/>
    <w:rsid w:val="00D25D18"/>
    <w:rsid w:val="00D26FC3"/>
    <w:rsid w:val="00D32293"/>
    <w:rsid w:val="00D324E4"/>
    <w:rsid w:val="00D339EB"/>
    <w:rsid w:val="00D33C8C"/>
    <w:rsid w:val="00D34672"/>
    <w:rsid w:val="00D358C0"/>
    <w:rsid w:val="00D35A6F"/>
    <w:rsid w:val="00D36F19"/>
    <w:rsid w:val="00D37A13"/>
    <w:rsid w:val="00D403E5"/>
    <w:rsid w:val="00D40493"/>
    <w:rsid w:val="00D41A8D"/>
    <w:rsid w:val="00D41B86"/>
    <w:rsid w:val="00D41EBC"/>
    <w:rsid w:val="00D427F1"/>
    <w:rsid w:val="00D44881"/>
    <w:rsid w:val="00D45319"/>
    <w:rsid w:val="00D45BD6"/>
    <w:rsid w:val="00D46D1E"/>
    <w:rsid w:val="00D50E48"/>
    <w:rsid w:val="00D518A6"/>
    <w:rsid w:val="00D5352C"/>
    <w:rsid w:val="00D55496"/>
    <w:rsid w:val="00D554A9"/>
    <w:rsid w:val="00D55A0D"/>
    <w:rsid w:val="00D55AD0"/>
    <w:rsid w:val="00D56978"/>
    <w:rsid w:val="00D56D2A"/>
    <w:rsid w:val="00D60873"/>
    <w:rsid w:val="00D609D6"/>
    <w:rsid w:val="00D61581"/>
    <w:rsid w:val="00D621ED"/>
    <w:rsid w:val="00D63837"/>
    <w:rsid w:val="00D64A57"/>
    <w:rsid w:val="00D65EA2"/>
    <w:rsid w:val="00D660DE"/>
    <w:rsid w:val="00D66C55"/>
    <w:rsid w:val="00D70A67"/>
    <w:rsid w:val="00D71147"/>
    <w:rsid w:val="00D71962"/>
    <w:rsid w:val="00D72605"/>
    <w:rsid w:val="00D726FE"/>
    <w:rsid w:val="00D73127"/>
    <w:rsid w:val="00D7339B"/>
    <w:rsid w:val="00D734FE"/>
    <w:rsid w:val="00D73AC1"/>
    <w:rsid w:val="00D74796"/>
    <w:rsid w:val="00D74937"/>
    <w:rsid w:val="00D752A5"/>
    <w:rsid w:val="00D77207"/>
    <w:rsid w:val="00D80529"/>
    <w:rsid w:val="00D80851"/>
    <w:rsid w:val="00D816D3"/>
    <w:rsid w:val="00D84CC8"/>
    <w:rsid w:val="00D85120"/>
    <w:rsid w:val="00D853D1"/>
    <w:rsid w:val="00D8657A"/>
    <w:rsid w:val="00D868EF"/>
    <w:rsid w:val="00D904A7"/>
    <w:rsid w:val="00D9192C"/>
    <w:rsid w:val="00D9208D"/>
    <w:rsid w:val="00D924CD"/>
    <w:rsid w:val="00D9327A"/>
    <w:rsid w:val="00D951F7"/>
    <w:rsid w:val="00D9528F"/>
    <w:rsid w:val="00D96375"/>
    <w:rsid w:val="00D968D1"/>
    <w:rsid w:val="00D970A1"/>
    <w:rsid w:val="00D97315"/>
    <w:rsid w:val="00D9799F"/>
    <w:rsid w:val="00DA0092"/>
    <w:rsid w:val="00DA015B"/>
    <w:rsid w:val="00DA0DBB"/>
    <w:rsid w:val="00DA1ABF"/>
    <w:rsid w:val="00DA2AC1"/>
    <w:rsid w:val="00DA3446"/>
    <w:rsid w:val="00DA3E5A"/>
    <w:rsid w:val="00DA522C"/>
    <w:rsid w:val="00DA5C1A"/>
    <w:rsid w:val="00DB0BF0"/>
    <w:rsid w:val="00DB10C4"/>
    <w:rsid w:val="00DB1264"/>
    <w:rsid w:val="00DB1308"/>
    <w:rsid w:val="00DB2DE8"/>
    <w:rsid w:val="00DB40DE"/>
    <w:rsid w:val="00DB4E15"/>
    <w:rsid w:val="00DB58F0"/>
    <w:rsid w:val="00DB59CC"/>
    <w:rsid w:val="00DB5D7C"/>
    <w:rsid w:val="00DC038B"/>
    <w:rsid w:val="00DC0EB7"/>
    <w:rsid w:val="00DC17BE"/>
    <w:rsid w:val="00DC2D96"/>
    <w:rsid w:val="00DC2EE9"/>
    <w:rsid w:val="00DC319F"/>
    <w:rsid w:val="00DC3BB6"/>
    <w:rsid w:val="00DD0D59"/>
    <w:rsid w:val="00DD171D"/>
    <w:rsid w:val="00DD2977"/>
    <w:rsid w:val="00DD3553"/>
    <w:rsid w:val="00DD36DB"/>
    <w:rsid w:val="00DD38B5"/>
    <w:rsid w:val="00DD46CE"/>
    <w:rsid w:val="00DD5130"/>
    <w:rsid w:val="00DD5439"/>
    <w:rsid w:val="00DD56AE"/>
    <w:rsid w:val="00DD5CEF"/>
    <w:rsid w:val="00DD6579"/>
    <w:rsid w:val="00DD67FC"/>
    <w:rsid w:val="00DD7822"/>
    <w:rsid w:val="00DD79CD"/>
    <w:rsid w:val="00DD7AA5"/>
    <w:rsid w:val="00DE2A91"/>
    <w:rsid w:val="00DE55E3"/>
    <w:rsid w:val="00DE626B"/>
    <w:rsid w:val="00DE6981"/>
    <w:rsid w:val="00DE74C8"/>
    <w:rsid w:val="00DE7C8F"/>
    <w:rsid w:val="00DF08AE"/>
    <w:rsid w:val="00DF0E2A"/>
    <w:rsid w:val="00DF3348"/>
    <w:rsid w:val="00DF53CE"/>
    <w:rsid w:val="00DF5B36"/>
    <w:rsid w:val="00DF6A0F"/>
    <w:rsid w:val="00DF70DA"/>
    <w:rsid w:val="00DF74BA"/>
    <w:rsid w:val="00DF7C72"/>
    <w:rsid w:val="00E00762"/>
    <w:rsid w:val="00E01D03"/>
    <w:rsid w:val="00E04073"/>
    <w:rsid w:val="00E0471C"/>
    <w:rsid w:val="00E0538F"/>
    <w:rsid w:val="00E076C0"/>
    <w:rsid w:val="00E1031F"/>
    <w:rsid w:val="00E104FB"/>
    <w:rsid w:val="00E11D9C"/>
    <w:rsid w:val="00E1227C"/>
    <w:rsid w:val="00E15311"/>
    <w:rsid w:val="00E1737A"/>
    <w:rsid w:val="00E20886"/>
    <w:rsid w:val="00E220D6"/>
    <w:rsid w:val="00E22A6E"/>
    <w:rsid w:val="00E255F1"/>
    <w:rsid w:val="00E264A3"/>
    <w:rsid w:val="00E30073"/>
    <w:rsid w:val="00E326A4"/>
    <w:rsid w:val="00E329C0"/>
    <w:rsid w:val="00E32B79"/>
    <w:rsid w:val="00E33192"/>
    <w:rsid w:val="00E335F4"/>
    <w:rsid w:val="00E33D60"/>
    <w:rsid w:val="00E34DC8"/>
    <w:rsid w:val="00E351BD"/>
    <w:rsid w:val="00E36D6F"/>
    <w:rsid w:val="00E371C5"/>
    <w:rsid w:val="00E374CA"/>
    <w:rsid w:val="00E37BE6"/>
    <w:rsid w:val="00E40CF6"/>
    <w:rsid w:val="00E41202"/>
    <w:rsid w:val="00E4121A"/>
    <w:rsid w:val="00E42E8F"/>
    <w:rsid w:val="00E430CF"/>
    <w:rsid w:val="00E4338F"/>
    <w:rsid w:val="00E439E8"/>
    <w:rsid w:val="00E43FA4"/>
    <w:rsid w:val="00E445B6"/>
    <w:rsid w:val="00E4487B"/>
    <w:rsid w:val="00E44D92"/>
    <w:rsid w:val="00E46EB0"/>
    <w:rsid w:val="00E52C37"/>
    <w:rsid w:val="00E53D38"/>
    <w:rsid w:val="00E54237"/>
    <w:rsid w:val="00E5675A"/>
    <w:rsid w:val="00E572F4"/>
    <w:rsid w:val="00E57524"/>
    <w:rsid w:val="00E57838"/>
    <w:rsid w:val="00E60897"/>
    <w:rsid w:val="00E612F7"/>
    <w:rsid w:val="00E614D9"/>
    <w:rsid w:val="00E6277D"/>
    <w:rsid w:val="00E63B9D"/>
    <w:rsid w:val="00E64B0A"/>
    <w:rsid w:val="00E6577F"/>
    <w:rsid w:val="00E65D45"/>
    <w:rsid w:val="00E65DC9"/>
    <w:rsid w:val="00E65F1B"/>
    <w:rsid w:val="00E674B0"/>
    <w:rsid w:val="00E6781F"/>
    <w:rsid w:val="00E7020F"/>
    <w:rsid w:val="00E72EC2"/>
    <w:rsid w:val="00E73EFF"/>
    <w:rsid w:val="00E77F57"/>
    <w:rsid w:val="00E814C5"/>
    <w:rsid w:val="00E815D5"/>
    <w:rsid w:val="00E81ADE"/>
    <w:rsid w:val="00E81B92"/>
    <w:rsid w:val="00E837A5"/>
    <w:rsid w:val="00E8429E"/>
    <w:rsid w:val="00E843F0"/>
    <w:rsid w:val="00E85157"/>
    <w:rsid w:val="00E862E4"/>
    <w:rsid w:val="00E8678C"/>
    <w:rsid w:val="00E86A6A"/>
    <w:rsid w:val="00E90A95"/>
    <w:rsid w:val="00E92209"/>
    <w:rsid w:val="00E92EA5"/>
    <w:rsid w:val="00E96863"/>
    <w:rsid w:val="00E976D3"/>
    <w:rsid w:val="00EA06E8"/>
    <w:rsid w:val="00EA121F"/>
    <w:rsid w:val="00EA16EA"/>
    <w:rsid w:val="00EA1AA9"/>
    <w:rsid w:val="00EA2429"/>
    <w:rsid w:val="00EA3DF2"/>
    <w:rsid w:val="00EA61D5"/>
    <w:rsid w:val="00EA6EC9"/>
    <w:rsid w:val="00EA782F"/>
    <w:rsid w:val="00EB0310"/>
    <w:rsid w:val="00EB076B"/>
    <w:rsid w:val="00EB1053"/>
    <w:rsid w:val="00EB2E14"/>
    <w:rsid w:val="00EB48C6"/>
    <w:rsid w:val="00EB4AF5"/>
    <w:rsid w:val="00EB5102"/>
    <w:rsid w:val="00EB554C"/>
    <w:rsid w:val="00EB59FE"/>
    <w:rsid w:val="00EB60BF"/>
    <w:rsid w:val="00EB71AB"/>
    <w:rsid w:val="00EB781D"/>
    <w:rsid w:val="00EB7AA5"/>
    <w:rsid w:val="00EC17BF"/>
    <w:rsid w:val="00EC1FFE"/>
    <w:rsid w:val="00EC56D7"/>
    <w:rsid w:val="00EC7802"/>
    <w:rsid w:val="00ED1E96"/>
    <w:rsid w:val="00ED318F"/>
    <w:rsid w:val="00ED4310"/>
    <w:rsid w:val="00ED4B5C"/>
    <w:rsid w:val="00ED4C79"/>
    <w:rsid w:val="00ED597B"/>
    <w:rsid w:val="00ED7D7F"/>
    <w:rsid w:val="00EE3D2C"/>
    <w:rsid w:val="00EE3F16"/>
    <w:rsid w:val="00EE4976"/>
    <w:rsid w:val="00EE4C28"/>
    <w:rsid w:val="00EE540B"/>
    <w:rsid w:val="00EE74B3"/>
    <w:rsid w:val="00EE7527"/>
    <w:rsid w:val="00EE7C1E"/>
    <w:rsid w:val="00EF09E5"/>
    <w:rsid w:val="00EF0BAE"/>
    <w:rsid w:val="00EF0DB8"/>
    <w:rsid w:val="00EF187A"/>
    <w:rsid w:val="00EF2001"/>
    <w:rsid w:val="00EF33BC"/>
    <w:rsid w:val="00EF38BB"/>
    <w:rsid w:val="00EF3CE1"/>
    <w:rsid w:val="00EF40BC"/>
    <w:rsid w:val="00EF47AF"/>
    <w:rsid w:val="00EF621B"/>
    <w:rsid w:val="00EF656B"/>
    <w:rsid w:val="00EF6A6B"/>
    <w:rsid w:val="00F00B8A"/>
    <w:rsid w:val="00F01269"/>
    <w:rsid w:val="00F0190D"/>
    <w:rsid w:val="00F02133"/>
    <w:rsid w:val="00F02141"/>
    <w:rsid w:val="00F04688"/>
    <w:rsid w:val="00F04DA1"/>
    <w:rsid w:val="00F108F0"/>
    <w:rsid w:val="00F10AC4"/>
    <w:rsid w:val="00F12585"/>
    <w:rsid w:val="00F13398"/>
    <w:rsid w:val="00F1499A"/>
    <w:rsid w:val="00F15496"/>
    <w:rsid w:val="00F1712B"/>
    <w:rsid w:val="00F17E30"/>
    <w:rsid w:val="00F20F6D"/>
    <w:rsid w:val="00F2138E"/>
    <w:rsid w:val="00F22397"/>
    <w:rsid w:val="00F22D86"/>
    <w:rsid w:val="00F2367E"/>
    <w:rsid w:val="00F24833"/>
    <w:rsid w:val="00F2492F"/>
    <w:rsid w:val="00F24933"/>
    <w:rsid w:val="00F26F33"/>
    <w:rsid w:val="00F3120B"/>
    <w:rsid w:val="00F325B2"/>
    <w:rsid w:val="00F334F8"/>
    <w:rsid w:val="00F345B1"/>
    <w:rsid w:val="00F34E0F"/>
    <w:rsid w:val="00F350EB"/>
    <w:rsid w:val="00F355D8"/>
    <w:rsid w:val="00F366ED"/>
    <w:rsid w:val="00F3783F"/>
    <w:rsid w:val="00F4022A"/>
    <w:rsid w:val="00F410CD"/>
    <w:rsid w:val="00F41197"/>
    <w:rsid w:val="00F44A93"/>
    <w:rsid w:val="00F45366"/>
    <w:rsid w:val="00F45F1F"/>
    <w:rsid w:val="00F4706C"/>
    <w:rsid w:val="00F47A59"/>
    <w:rsid w:val="00F50226"/>
    <w:rsid w:val="00F50BF6"/>
    <w:rsid w:val="00F5174D"/>
    <w:rsid w:val="00F5197F"/>
    <w:rsid w:val="00F5371E"/>
    <w:rsid w:val="00F548D2"/>
    <w:rsid w:val="00F55C36"/>
    <w:rsid w:val="00F56184"/>
    <w:rsid w:val="00F564F4"/>
    <w:rsid w:val="00F57964"/>
    <w:rsid w:val="00F57B2B"/>
    <w:rsid w:val="00F60317"/>
    <w:rsid w:val="00F603FA"/>
    <w:rsid w:val="00F60B37"/>
    <w:rsid w:val="00F614DD"/>
    <w:rsid w:val="00F62DE9"/>
    <w:rsid w:val="00F63974"/>
    <w:rsid w:val="00F64031"/>
    <w:rsid w:val="00F640F9"/>
    <w:rsid w:val="00F66075"/>
    <w:rsid w:val="00F66AB4"/>
    <w:rsid w:val="00F676A1"/>
    <w:rsid w:val="00F71A38"/>
    <w:rsid w:val="00F72019"/>
    <w:rsid w:val="00F72A84"/>
    <w:rsid w:val="00F7341A"/>
    <w:rsid w:val="00F75299"/>
    <w:rsid w:val="00F75EE3"/>
    <w:rsid w:val="00F82429"/>
    <w:rsid w:val="00F82BB8"/>
    <w:rsid w:val="00F831A0"/>
    <w:rsid w:val="00F83527"/>
    <w:rsid w:val="00F836A5"/>
    <w:rsid w:val="00F837A6"/>
    <w:rsid w:val="00F840C8"/>
    <w:rsid w:val="00F84728"/>
    <w:rsid w:val="00F853D0"/>
    <w:rsid w:val="00F85589"/>
    <w:rsid w:val="00F85E7F"/>
    <w:rsid w:val="00F85FE1"/>
    <w:rsid w:val="00F8672B"/>
    <w:rsid w:val="00F86972"/>
    <w:rsid w:val="00F86A5D"/>
    <w:rsid w:val="00F916C8"/>
    <w:rsid w:val="00F92F53"/>
    <w:rsid w:val="00F93BFF"/>
    <w:rsid w:val="00F94706"/>
    <w:rsid w:val="00F947BA"/>
    <w:rsid w:val="00F9498D"/>
    <w:rsid w:val="00F94A64"/>
    <w:rsid w:val="00F95E29"/>
    <w:rsid w:val="00F96462"/>
    <w:rsid w:val="00F966F1"/>
    <w:rsid w:val="00FA0F2B"/>
    <w:rsid w:val="00FA12BF"/>
    <w:rsid w:val="00FA2A94"/>
    <w:rsid w:val="00FA3174"/>
    <w:rsid w:val="00FA324D"/>
    <w:rsid w:val="00FA38A7"/>
    <w:rsid w:val="00FA5597"/>
    <w:rsid w:val="00FA60E1"/>
    <w:rsid w:val="00FA7D5C"/>
    <w:rsid w:val="00FB0C51"/>
    <w:rsid w:val="00FB0E1E"/>
    <w:rsid w:val="00FB2760"/>
    <w:rsid w:val="00FB2D41"/>
    <w:rsid w:val="00FB3BFE"/>
    <w:rsid w:val="00FB49EE"/>
    <w:rsid w:val="00FB5154"/>
    <w:rsid w:val="00FB51F4"/>
    <w:rsid w:val="00FB5E15"/>
    <w:rsid w:val="00FB764B"/>
    <w:rsid w:val="00FB7B87"/>
    <w:rsid w:val="00FB7F68"/>
    <w:rsid w:val="00FC0190"/>
    <w:rsid w:val="00FC14BB"/>
    <w:rsid w:val="00FC2E67"/>
    <w:rsid w:val="00FC49B5"/>
    <w:rsid w:val="00FC5367"/>
    <w:rsid w:val="00FC5522"/>
    <w:rsid w:val="00FC797C"/>
    <w:rsid w:val="00FD1A12"/>
    <w:rsid w:val="00FD1ED5"/>
    <w:rsid w:val="00FD203C"/>
    <w:rsid w:val="00FD2C7E"/>
    <w:rsid w:val="00FD39CD"/>
    <w:rsid w:val="00FD43BF"/>
    <w:rsid w:val="00FD4560"/>
    <w:rsid w:val="00FD46D6"/>
    <w:rsid w:val="00FD5220"/>
    <w:rsid w:val="00FD54D1"/>
    <w:rsid w:val="00FD5C8A"/>
    <w:rsid w:val="00FD67AA"/>
    <w:rsid w:val="00FD6CAA"/>
    <w:rsid w:val="00FD6E14"/>
    <w:rsid w:val="00FD78F9"/>
    <w:rsid w:val="00FE0324"/>
    <w:rsid w:val="00FE0C04"/>
    <w:rsid w:val="00FE2E24"/>
    <w:rsid w:val="00FE2E6A"/>
    <w:rsid w:val="00FE4ED8"/>
    <w:rsid w:val="00FE6340"/>
    <w:rsid w:val="00FE7B37"/>
    <w:rsid w:val="00FF2244"/>
    <w:rsid w:val="00FF3142"/>
    <w:rsid w:val="00FF3513"/>
    <w:rsid w:val="00FF390B"/>
    <w:rsid w:val="00FF6791"/>
    <w:rsid w:val="00FF6C9D"/>
    <w:rsid w:val="00FF73B9"/>
  </w:rsids>
  <m:mathPr>
    <m:mathFont m:val="Cambria Math"/>
    <m:brkBin m:val="before"/>
    <m:brkBinSub m:val="--"/>
    <m:smallFrac m:val="off"/>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Arial"/>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B5154"/>
    <w:pPr>
      <w:widowControl w:val="0"/>
      <w:autoSpaceDE w:val="0"/>
      <w:autoSpaceDN w:val="0"/>
      <w:adjustRightInd w:val="0"/>
    </w:pPr>
    <w:rPr>
      <w:rFonts w:ascii="Courier New" w:eastAsia="Times New Roman" w:hAnsi="Courier New" w:cs="Courier New"/>
      <w:sz w:val="24"/>
      <w:szCs w:val="24"/>
    </w:rPr>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extedebulles">
    <w:name w:val="Balloon Text"/>
    <w:basedOn w:val="Normal"/>
    <w:link w:val="TextedebullesCar"/>
    <w:uiPriority w:val="99"/>
    <w:semiHidden/>
    <w:unhideWhenUsed/>
    <w:rsid w:val="00FB5154"/>
    <w:rPr>
      <w:rFonts w:ascii="Tahoma" w:eastAsia="Calibri" w:hAnsi="Tahoma" w:cs="Times New Roman"/>
      <w:sz w:val="16"/>
      <w:szCs w:val="16"/>
    </w:rPr>
  </w:style>
  <w:style w:type="character" w:customStyle="1" w:styleId="TextedebullesCar">
    <w:name w:val="Texte de bulles Car"/>
    <w:link w:val="Textedebulles"/>
    <w:uiPriority w:val="99"/>
    <w:semiHidden/>
    <w:rsid w:val="00FB5154"/>
    <w:rPr>
      <w:rFonts w:ascii="Tahoma" w:hAnsi="Tahoma" w:cs="Tahoma"/>
      <w:sz w:val="16"/>
      <w:szCs w:val="16"/>
    </w:rPr>
  </w:style>
  <w:style w:type="paragraph" w:styleId="En-tte">
    <w:name w:val="header"/>
    <w:basedOn w:val="Normal"/>
    <w:link w:val="En-tteCar"/>
    <w:uiPriority w:val="99"/>
    <w:semiHidden/>
    <w:unhideWhenUsed/>
    <w:rsid w:val="00FB5154"/>
    <w:pPr>
      <w:tabs>
        <w:tab w:val="center" w:pos="4536"/>
        <w:tab w:val="right" w:pos="9072"/>
      </w:tabs>
    </w:pPr>
  </w:style>
  <w:style w:type="character" w:customStyle="1" w:styleId="En-tteCar">
    <w:name w:val="En-tête Car"/>
    <w:basedOn w:val="Policepardfaut"/>
    <w:link w:val="En-tte"/>
    <w:uiPriority w:val="99"/>
    <w:semiHidden/>
    <w:rsid w:val="00FB5154"/>
  </w:style>
  <w:style w:type="paragraph" w:styleId="Pieddepage">
    <w:name w:val="footer"/>
    <w:basedOn w:val="Normal"/>
    <w:link w:val="PieddepageCar"/>
    <w:uiPriority w:val="99"/>
    <w:unhideWhenUsed/>
    <w:rsid w:val="00FB5154"/>
    <w:pPr>
      <w:tabs>
        <w:tab w:val="center" w:pos="4536"/>
        <w:tab w:val="right" w:pos="9072"/>
      </w:tabs>
    </w:pPr>
  </w:style>
  <w:style w:type="character" w:customStyle="1" w:styleId="PieddepageCar">
    <w:name w:val="Pied de page Car"/>
    <w:basedOn w:val="Policepardfaut"/>
    <w:link w:val="Pieddepage"/>
    <w:uiPriority w:val="99"/>
    <w:rsid w:val="00FB5154"/>
  </w:style>
  <w:style w:type="paragraph" w:styleId="Paragraphedeliste">
    <w:name w:val="List Paragraph"/>
    <w:basedOn w:val="Normal"/>
    <w:uiPriority w:val="34"/>
    <w:qFormat/>
    <w:rsid w:val="00FB5154"/>
    <w:pPr>
      <w:ind w:left="720"/>
      <w:contextualSpacing/>
    </w:pPr>
  </w:style>
  <w:style w:type="character" w:styleId="Lienhypertexte">
    <w:name w:val="Hyperlink"/>
    <w:uiPriority w:val="99"/>
    <w:unhideWhenUsed/>
    <w:rsid w:val="00B51E40"/>
    <w:rPr>
      <w:color w:val="0000FF"/>
      <w:u w:val="single"/>
    </w:rPr>
  </w:style>
  <w:style w:type="character" w:customStyle="1" w:styleId="hps">
    <w:name w:val="hps"/>
    <w:basedOn w:val="Policepardfaut"/>
    <w:rsid w:val="009569BA"/>
  </w:style>
  <w:style w:type="table" w:styleId="Grilledutableau">
    <w:name w:val="Table Grid"/>
    <w:basedOn w:val="TableauNormal"/>
    <w:uiPriority w:val="59"/>
    <w:rsid w:val="0075170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unhideWhenUsed/>
    <w:rsid w:val="00857830"/>
    <w:pPr>
      <w:widowControl/>
      <w:autoSpaceDE/>
      <w:autoSpaceDN/>
      <w:adjustRightInd/>
      <w:spacing w:before="100" w:beforeAutospacing="1" w:after="100" w:afterAutospacing="1"/>
    </w:pPr>
    <w:rPr>
      <w:rFonts w:ascii="Times New Roman" w:hAnsi="Times New Roman" w:cs="Times New Roman"/>
      <w:lang w:val="en-US" w:eastAsia="en-US"/>
    </w:rPr>
  </w:style>
  <w:style w:type="paragraph" w:styleId="Lgende">
    <w:name w:val="caption"/>
    <w:basedOn w:val="Normal"/>
    <w:next w:val="Normal"/>
    <w:uiPriority w:val="35"/>
    <w:unhideWhenUsed/>
    <w:qFormat/>
    <w:rsid w:val="00547197"/>
    <w:pPr>
      <w:spacing w:after="200"/>
    </w:pPr>
    <w:rPr>
      <w:b/>
      <w:bCs/>
      <w:color w:val="4F81BD"/>
      <w:sz w:val="18"/>
      <w:szCs w:val="18"/>
    </w:rPr>
  </w:style>
  <w:style w:type="character" w:styleId="Marquedecommentaire">
    <w:name w:val="annotation reference"/>
    <w:uiPriority w:val="99"/>
    <w:semiHidden/>
    <w:unhideWhenUsed/>
    <w:rsid w:val="001D59A8"/>
    <w:rPr>
      <w:sz w:val="16"/>
      <w:szCs w:val="16"/>
    </w:rPr>
  </w:style>
  <w:style w:type="paragraph" w:styleId="Commentaire">
    <w:name w:val="annotation text"/>
    <w:basedOn w:val="Normal"/>
    <w:link w:val="CommentaireCar"/>
    <w:uiPriority w:val="99"/>
    <w:semiHidden/>
    <w:unhideWhenUsed/>
    <w:rsid w:val="001D59A8"/>
    <w:rPr>
      <w:rFonts w:cs="Times New Roman"/>
      <w:sz w:val="20"/>
      <w:szCs w:val="20"/>
    </w:rPr>
  </w:style>
  <w:style w:type="character" w:customStyle="1" w:styleId="CommentaireCar">
    <w:name w:val="Commentaire Car"/>
    <w:link w:val="Commentaire"/>
    <w:uiPriority w:val="99"/>
    <w:semiHidden/>
    <w:rsid w:val="001D59A8"/>
    <w:rPr>
      <w:rFonts w:ascii="Courier New" w:eastAsia="Times New Roman" w:hAnsi="Courier New" w:cs="Courier New"/>
    </w:rPr>
  </w:style>
  <w:style w:type="paragraph" w:styleId="Objetducommentaire">
    <w:name w:val="annotation subject"/>
    <w:basedOn w:val="Commentaire"/>
    <w:next w:val="Commentaire"/>
    <w:link w:val="ObjetducommentaireCar"/>
    <w:uiPriority w:val="99"/>
    <w:semiHidden/>
    <w:unhideWhenUsed/>
    <w:rsid w:val="001D59A8"/>
    <w:rPr>
      <w:b/>
      <w:bCs/>
    </w:rPr>
  </w:style>
  <w:style w:type="character" w:customStyle="1" w:styleId="ObjetducommentaireCar">
    <w:name w:val="Objet du commentaire Car"/>
    <w:link w:val="Objetducommentaire"/>
    <w:uiPriority w:val="99"/>
    <w:semiHidden/>
    <w:rsid w:val="001D59A8"/>
    <w:rPr>
      <w:rFonts w:ascii="Courier New" w:eastAsia="Times New Roman" w:hAnsi="Courier New" w:cs="Courier New"/>
      <w:b/>
      <w:bCs/>
    </w:rPr>
  </w:style>
</w:styles>
</file>

<file path=word/webSettings.xml><?xml version="1.0" encoding="utf-8"?>
<w:webSettings xmlns:r="http://schemas.openxmlformats.org/officeDocument/2006/relationships" xmlns:w="http://schemas.openxmlformats.org/wordprocessingml/2006/main">
  <w:divs>
    <w:div w:id="52971041">
      <w:bodyDiv w:val="1"/>
      <w:marLeft w:val="0"/>
      <w:marRight w:val="0"/>
      <w:marTop w:val="0"/>
      <w:marBottom w:val="0"/>
      <w:divBdr>
        <w:top w:val="none" w:sz="0" w:space="0" w:color="auto"/>
        <w:left w:val="none" w:sz="0" w:space="0" w:color="auto"/>
        <w:bottom w:val="none" w:sz="0" w:space="0" w:color="auto"/>
        <w:right w:val="none" w:sz="0" w:space="0" w:color="auto"/>
      </w:divBdr>
    </w:div>
    <w:div w:id="54011902">
      <w:bodyDiv w:val="1"/>
      <w:marLeft w:val="0"/>
      <w:marRight w:val="0"/>
      <w:marTop w:val="0"/>
      <w:marBottom w:val="0"/>
      <w:divBdr>
        <w:top w:val="none" w:sz="0" w:space="0" w:color="auto"/>
        <w:left w:val="none" w:sz="0" w:space="0" w:color="auto"/>
        <w:bottom w:val="none" w:sz="0" w:space="0" w:color="auto"/>
        <w:right w:val="none" w:sz="0" w:space="0" w:color="auto"/>
      </w:divBdr>
    </w:div>
    <w:div w:id="159396825">
      <w:bodyDiv w:val="1"/>
      <w:marLeft w:val="0"/>
      <w:marRight w:val="0"/>
      <w:marTop w:val="0"/>
      <w:marBottom w:val="0"/>
      <w:divBdr>
        <w:top w:val="none" w:sz="0" w:space="0" w:color="auto"/>
        <w:left w:val="none" w:sz="0" w:space="0" w:color="auto"/>
        <w:bottom w:val="none" w:sz="0" w:space="0" w:color="auto"/>
        <w:right w:val="none" w:sz="0" w:space="0" w:color="auto"/>
      </w:divBdr>
    </w:div>
    <w:div w:id="265038425">
      <w:bodyDiv w:val="1"/>
      <w:marLeft w:val="0"/>
      <w:marRight w:val="0"/>
      <w:marTop w:val="0"/>
      <w:marBottom w:val="0"/>
      <w:divBdr>
        <w:top w:val="none" w:sz="0" w:space="0" w:color="auto"/>
        <w:left w:val="none" w:sz="0" w:space="0" w:color="auto"/>
        <w:bottom w:val="none" w:sz="0" w:space="0" w:color="auto"/>
        <w:right w:val="none" w:sz="0" w:space="0" w:color="auto"/>
      </w:divBdr>
    </w:div>
    <w:div w:id="329526587">
      <w:bodyDiv w:val="1"/>
      <w:marLeft w:val="0"/>
      <w:marRight w:val="0"/>
      <w:marTop w:val="0"/>
      <w:marBottom w:val="0"/>
      <w:divBdr>
        <w:top w:val="none" w:sz="0" w:space="0" w:color="auto"/>
        <w:left w:val="none" w:sz="0" w:space="0" w:color="auto"/>
        <w:bottom w:val="none" w:sz="0" w:space="0" w:color="auto"/>
        <w:right w:val="none" w:sz="0" w:space="0" w:color="auto"/>
      </w:divBdr>
    </w:div>
    <w:div w:id="344942192">
      <w:bodyDiv w:val="1"/>
      <w:marLeft w:val="0"/>
      <w:marRight w:val="0"/>
      <w:marTop w:val="0"/>
      <w:marBottom w:val="0"/>
      <w:divBdr>
        <w:top w:val="none" w:sz="0" w:space="0" w:color="auto"/>
        <w:left w:val="none" w:sz="0" w:space="0" w:color="auto"/>
        <w:bottom w:val="none" w:sz="0" w:space="0" w:color="auto"/>
        <w:right w:val="none" w:sz="0" w:space="0" w:color="auto"/>
      </w:divBdr>
    </w:div>
    <w:div w:id="563881847">
      <w:bodyDiv w:val="1"/>
      <w:marLeft w:val="0"/>
      <w:marRight w:val="0"/>
      <w:marTop w:val="0"/>
      <w:marBottom w:val="0"/>
      <w:divBdr>
        <w:top w:val="none" w:sz="0" w:space="0" w:color="auto"/>
        <w:left w:val="none" w:sz="0" w:space="0" w:color="auto"/>
        <w:bottom w:val="none" w:sz="0" w:space="0" w:color="auto"/>
        <w:right w:val="none" w:sz="0" w:space="0" w:color="auto"/>
      </w:divBdr>
    </w:div>
    <w:div w:id="566497277">
      <w:bodyDiv w:val="1"/>
      <w:marLeft w:val="0"/>
      <w:marRight w:val="0"/>
      <w:marTop w:val="0"/>
      <w:marBottom w:val="0"/>
      <w:divBdr>
        <w:top w:val="none" w:sz="0" w:space="0" w:color="auto"/>
        <w:left w:val="none" w:sz="0" w:space="0" w:color="auto"/>
        <w:bottom w:val="none" w:sz="0" w:space="0" w:color="auto"/>
        <w:right w:val="none" w:sz="0" w:space="0" w:color="auto"/>
      </w:divBdr>
    </w:div>
    <w:div w:id="616109685">
      <w:bodyDiv w:val="1"/>
      <w:marLeft w:val="0"/>
      <w:marRight w:val="0"/>
      <w:marTop w:val="0"/>
      <w:marBottom w:val="0"/>
      <w:divBdr>
        <w:top w:val="none" w:sz="0" w:space="0" w:color="auto"/>
        <w:left w:val="none" w:sz="0" w:space="0" w:color="auto"/>
        <w:bottom w:val="none" w:sz="0" w:space="0" w:color="auto"/>
        <w:right w:val="none" w:sz="0" w:space="0" w:color="auto"/>
      </w:divBdr>
    </w:div>
    <w:div w:id="819343458">
      <w:bodyDiv w:val="1"/>
      <w:marLeft w:val="0"/>
      <w:marRight w:val="0"/>
      <w:marTop w:val="0"/>
      <w:marBottom w:val="0"/>
      <w:divBdr>
        <w:top w:val="none" w:sz="0" w:space="0" w:color="auto"/>
        <w:left w:val="none" w:sz="0" w:space="0" w:color="auto"/>
        <w:bottom w:val="none" w:sz="0" w:space="0" w:color="auto"/>
        <w:right w:val="none" w:sz="0" w:space="0" w:color="auto"/>
      </w:divBdr>
    </w:div>
    <w:div w:id="833566169">
      <w:bodyDiv w:val="1"/>
      <w:marLeft w:val="0"/>
      <w:marRight w:val="0"/>
      <w:marTop w:val="0"/>
      <w:marBottom w:val="0"/>
      <w:divBdr>
        <w:top w:val="none" w:sz="0" w:space="0" w:color="auto"/>
        <w:left w:val="none" w:sz="0" w:space="0" w:color="auto"/>
        <w:bottom w:val="none" w:sz="0" w:space="0" w:color="auto"/>
        <w:right w:val="none" w:sz="0" w:space="0" w:color="auto"/>
      </w:divBdr>
    </w:div>
    <w:div w:id="855115038">
      <w:bodyDiv w:val="1"/>
      <w:marLeft w:val="0"/>
      <w:marRight w:val="0"/>
      <w:marTop w:val="0"/>
      <w:marBottom w:val="0"/>
      <w:divBdr>
        <w:top w:val="none" w:sz="0" w:space="0" w:color="auto"/>
        <w:left w:val="none" w:sz="0" w:space="0" w:color="auto"/>
        <w:bottom w:val="none" w:sz="0" w:space="0" w:color="auto"/>
        <w:right w:val="none" w:sz="0" w:space="0" w:color="auto"/>
      </w:divBdr>
    </w:div>
    <w:div w:id="972758748">
      <w:bodyDiv w:val="1"/>
      <w:marLeft w:val="0"/>
      <w:marRight w:val="0"/>
      <w:marTop w:val="0"/>
      <w:marBottom w:val="0"/>
      <w:divBdr>
        <w:top w:val="none" w:sz="0" w:space="0" w:color="auto"/>
        <w:left w:val="none" w:sz="0" w:space="0" w:color="auto"/>
        <w:bottom w:val="none" w:sz="0" w:space="0" w:color="auto"/>
        <w:right w:val="none" w:sz="0" w:space="0" w:color="auto"/>
      </w:divBdr>
    </w:div>
    <w:div w:id="1050692214">
      <w:bodyDiv w:val="1"/>
      <w:marLeft w:val="0"/>
      <w:marRight w:val="0"/>
      <w:marTop w:val="0"/>
      <w:marBottom w:val="0"/>
      <w:divBdr>
        <w:top w:val="none" w:sz="0" w:space="0" w:color="auto"/>
        <w:left w:val="none" w:sz="0" w:space="0" w:color="auto"/>
        <w:bottom w:val="none" w:sz="0" w:space="0" w:color="auto"/>
        <w:right w:val="none" w:sz="0" w:space="0" w:color="auto"/>
      </w:divBdr>
    </w:div>
    <w:div w:id="1392078431">
      <w:bodyDiv w:val="1"/>
      <w:marLeft w:val="0"/>
      <w:marRight w:val="0"/>
      <w:marTop w:val="0"/>
      <w:marBottom w:val="0"/>
      <w:divBdr>
        <w:top w:val="none" w:sz="0" w:space="0" w:color="auto"/>
        <w:left w:val="none" w:sz="0" w:space="0" w:color="auto"/>
        <w:bottom w:val="none" w:sz="0" w:space="0" w:color="auto"/>
        <w:right w:val="none" w:sz="0" w:space="0" w:color="auto"/>
      </w:divBdr>
    </w:div>
    <w:div w:id="1398168666">
      <w:bodyDiv w:val="1"/>
      <w:marLeft w:val="0"/>
      <w:marRight w:val="0"/>
      <w:marTop w:val="0"/>
      <w:marBottom w:val="0"/>
      <w:divBdr>
        <w:top w:val="none" w:sz="0" w:space="0" w:color="auto"/>
        <w:left w:val="none" w:sz="0" w:space="0" w:color="auto"/>
        <w:bottom w:val="none" w:sz="0" w:space="0" w:color="auto"/>
        <w:right w:val="none" w:sz="0" w:space="0" w:color="auto"/>
      </w:divBdr>
    </w:div>
    <w:div w:id="1470130386">
      <w:bodyDiv w:val="1"/>
      <w:marLeft w:val="0"/>
      <w:marRight w:val="0"/>
      <w:marTop w:val="0"/>
      <w:marBottom w:val="0"/>
      <w:divBdr>
        <w:top w:val="none" w:sz="0" w:space="0" w:color="auto"/>
        <w:left w:val="none" w:sz="0" w:space="0" w:color="auto"/>
        <w:bottom w:val="none" w:sz="0" w:space="0" w:color="auto"/>
        <w:right w:val="none" w:sz="0" w:space="0" w:color="auto"/>
      </w:divBdr>
    </w:div>
    <w:div w:id="1496265545">
      <w:bodyDiv w:val="1"/>
      <w:marLeft w:val="0"/>
      <w:marRight w:val="0"/>
      <w:marTop w:val="0"/>
      <w:marBottom w:val="0"/>
      <w:divBdr>
        <w:top w:val="none" w:sz="0" w:space="0" w:color="auto"/>
        <w:left w:val="none" w:sz="0" w:space="0" w:color="auto"/>
        <w:bottom w:val="none" w:sz="0" w:space="0" w:color="auto"/>
        <w:right w:val="none" w:sz="0" w:space="0" w:color="auto"/>
      </w:divBdr>
    </w:div>
    <w:div w:id="1576933088">
      <w:bodyDiv w:val="1"/>
      <w:marLeft w:val="0"/>
      <w:marRight w:val="0"/>
      <w:marTop w:val="0"/>
      <w:marBottom w:val="0"/>
      <w:divBdr>
        <w:top w:val="none" w:sz="0" w:space="0" w:color="auto"/>
        <w:left w:val="none" w:sz="0" w:space="0" w:color="auto"/>
        <w:bottom w:val="none" w:sz="0" w:space="0" w:color="auto"/>
        <w:right w:val="none" w:sz="0" w:space="0" w:color="auto"/>
      </w:divBdr>
    </w:div>
    <w:div w:id="1586836663">
      <w:bodyDiv w:val="1"/>
      <w:marLeft w:val="0"/>
      <w:marRight w:val="0"/>
      <w:marTop w:val="0"/>
      <w:marBottom w:val="0"/>
      <w:divBdr>
        <w:top w:val="none" w:sz="0" w:space="0" w:color="auto"/>
        <w:left w:val="none" w:sz="0" w:space="0" w:color="auto"/>
        <w:bottom w:val="none" w:sz="0" w:space="0" w:color="auto"/>
        <w:right w:val="none" w:sz="0" w:space="0" w:color="auto"/>
      </w:divBdr>
    </w:div>
    <w:div w:id="1620836482">
      <w:bodyDiv w:val="1"/>
      <w:marLeft w:val="0"/>
      <w:marRight w:val="0"/>
      <w:marTop w:val="0"/>
      <w:marBottom w:val="0"/>
      <w:divBdr>
        <w:top w:val="none" w:sz="0" w:space="0" w:color="auto"/>
        <w:left w:val="none" w:sz="0" w:space="0" w:color="auto"/>
        <w:bottom w:val="none" w:sz="0" w:space="0" w:color="auto"/>
        <w:right w:val="none" w:sz="0" w:space="0" w:color="auto"/>
      </w:divBdr>
    </w:div>
    <w:div w:id="1773475033">
      <w:bodyDiv w:val="1"/>
      <w:marLeft w:val="0"/>
      <w:marRight w:val="0"/>
      <w:marTop w:val="0"/>
      <w:marBottom w:val="0"/>
      <w:divBdr>
        <w:top w:val="none" w:sz="0" w:space="0" w:color="auto"/>
        <w:left w:val="none" w:sz="0" w:space="0" w:color="auto"/>
        <w:bottom w:val="none" w:sz="0" w:space="0" w:color="auto"/>
        <w:right w:val="none" w:sz="0" w:space="0" w:color="auto"/>
      </w:divBdr>
    </w:div>
    <w:div w:id="1923836431">
      <w:bodyDiv w:val="1"/>
      <w:marLeft w:val="0"/>
      <w:marRight w:val="0"/>
      <w:marTop w:val="0"/>
      <w:marBottom w:val="0"/>
      <w:divBdr>
        <w:top w:val="none" w:sz="0" w:space="0" w:color="auto"/>
        <w:left w:val="none" w:sz="0" w:space="0" w:color="auto"/>
        <w:bottom w:val="none" w:sz="0" w:space="0" w:color="auto"/>
        <w:right w:val="none" w:sz="0" w:space="0" w:color="auto"/>
      </w:divBdr>
    </w:div>
    <w:div w:id="1976636481">
      <w:bodyDiv w:val="1"/>
      <w:marLeft w:val="0"/>
      <w:marRight w:val="0"/>
      <w:marTop w:val="0"/>
      <w:marBottom w:val="0"/>
      <w:divBdr>
        <w:top w:val="none" w:sz="0" w:space="0" w:color="auto"/>
        <w:left w:val="none" w:sz="0" w:space="0" w:color="auto"/>
        <w:bottom w:val="none" w:sz="0" w:space="0" w:color="auto"/>
        <w:right w:val="none" w:sz="0" w:space="0" w:color="auto"/>
      </w:divBdr>
    </w:div>
    <w:div w:id="21355886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chart" Target="charts/chart6.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hart" Target="charts/chart5.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4.xm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chart" Target="charts/chart3.xml"/><Relationship Id="rId4" Type="http://schemas.openxmlformats.org/officeDocument/2006/relationships/settings" Target="settings.xml"/><Relationship Id="rId9" Type="http://schemas.openxmlformats.org/officeDocument/2006/relationships/chart" Target="charts/chart2.xml"/><Relationship Id="rId14" Type="http://schemas.openxmlformats.org/officeDocument/2006/relationships/hyperlink" Target="http://www.hcp.ma" TargetMode="External"/></Relationships>
</file>

<file path=word/charts/_rels/chart1.xml.rels><?xml version="1.0" encoding="UTF-8" standalone="yes"?>
<Relationships xmlns="http://schemas.openxmlformats.org/package/2006/relationships"><Relationship Id="rId1" Type="http://schemas.openxmlformats.org/officeDocument/2006/relationships/oleObject" Target="file:///C:\Users\harrak\Desktop\bureau20%20octobre%20%202022\Enquete%20de%20conjoncture%20menages_BUREAU\2022\T4\resultatseECM(trim1-08-trim3-2022).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C:\Users\harrak\Desktop\bureau20%20octobre%20%202022\Enquete%20de%20conjoncture%20menages_BUREAU\2022\T4\resultatseECM(trim1-08-trim3-2022).xlsx"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C:\Users\harrak\Desktop\bureau20%20octobre%20%202022\Enquete%20de%20conjoncture%20menages_BUREAU\2022\T4\resultatseECM(trim1-08-trim3-2022).xlsx"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file:///C:\Users\harrak\Desktop\bureau20%20octobre%20%202022\Enquete%20de%20conjoncture%20menages_BUREAU\2022\T4\resultatseECM(trim1-08-trim3-2022).xlsx" TargetMode="External"/></Relationships>
</file>

<file path=word/charts/_rels/chart5.xml.rels><?xml version="1.0" encoding="UTF-8" standalone="yes"?>
<Relationships xmlns="http://schemas.openxmlformats.org/package/2006/relationships"><Relationship Id="rId1" Type="http://schemas.openxmlformats.org/officeDocument/2006/relationships/oleObject" Target="file:///C:\Users\harrak\Desktop\bureau20%20octobre%20%202022\Enquete%20de%20conjoncture%20menages_BUREAU\2022\T4\resultatseECM(trim1-08-trim3-2022).xlsx" TargetMode="External"/></Relationships>
</file>

<file path=word/charts/_rels/chart6.xml.rels><?xml version="1.0" encoding="UTF-8" standalone="yes"?>
<Relationships xmlns="http://schemas.openxmlformats.org/package/2006/relationships"><Relationship Id="rId1" Type="http://schemas.openxmlformats.org/officeDocument/2006/relationships/oleObject" Target="file:///C:\Users\harrak\Desktop\bureau20%20octobre%20%202022\Enquete%20de%20conjoncture%20menages_BUREAU\2022\T4\resultatseECM(trim1-08-trim3-2022).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fr-FR"/>
  <c:style val="26"/>
  <c:chart>
    <c:autoTitleDeleted val="1"/>
    <c:plotArea>
      <c:layout/>
      <c:barChart>
        <c:barDir val="col"/>
        <c:grouping val="clustered"/>
        <c:ser>
          <c:idx val="0"/>
          <c:order val="0"/>
          <c:tx>
            <c:strRef>
              <c:f>'tableau note ar'!$A$2</c:f>
              <c:strCache>
                <c:ptCount val="1"/>
                <c:pt idx="0">
                  <c:v>Indice de Confiance des Ménages</c:v>
                </c:pt>
              </c:strCache>
            </c:strRef>
          </c:tx>
          <c:dPt>
            <c:idx val="55"/>
            <c:spPr>
              <a:solidFill>
                <a:sysClr val="windowText" lastClr="000000"/>
              </a:solidFill>
            </c:spPr>
          </c:dPt>
          <c:dPt>
            <c:idx val="58"/>
            <c:spPr>
              <a:solidFill>
                <a:sysClr val="windowText" lastClr="000000"/>
              </a:solidFill>
            </c:spPr>
          </c:dPt>
          <c:dPt>
            <c:idx val="59"/>
            <c:spPr>
              <a:solidFill>
                <a:sysClr val="windowText" lastClr="000000"/>
              </a:solidFill>
            </c:spPr>
          </c:dPt>
          <c:dLbls>
            <c:dLbl>
              <c:idx val="55"/>
              <c:layout>
                <c:manualLayout>
                  <c:x val="1.7291066282420751E-2"/>
                  <c:y val="3.311966369198188E-3"/>
                </c:manualLayout>
              </c:layout>
              <c:showVal val="1"/>
            </c:dLbl>
            <c:dLbl>
              <c:idx val="58"/>
              <c:layout>
                <c:manualLayout>
                  <c:x val="9.8354298989618699E-3"/>
                  <c:y val="-3.316969651148543E-3"/>
                </c:manualLayout>
              </c:layout>
              <c:showVal val="1"/>
            </c:dLbl>
            <c:dLbl>
              <c:idx val="59"/>
              <c:layout>
                <c:manualLayout>
                  <c:x val="1.0064700314442523E-2"/>
                  <c:y val="1.3248847025207721E-2"/>
                </c:manualLayout>
              </c:layout>
              <c:showVal val="1"/>
            </c:dLbl>
            <c:delete val="1"/>
          </c:dLbls>
          <c:cat>
            <c:strRef>
              <c:f>'tableau note ar'!$B$1:$BI$1</c:f>
              <c:strCache>
                <c:ptCount val="60"/>
                <c:pt idx="0">
                  <c:v>T1/08</c:v>
                </c:pt>
                <c:pt idx="1">
                  <c:v>T2/08</c:v>
                </c:pt>
                <c:pt idx="2">
                  <c:v>T3/08</c:v>
                </c:pt>
                <c:pt idx="3">
                  <c:v>T4/08</c:v>
                </c:pt>
                <c:pt idx="4">
                  <c:v>T1/09</c:v>
                </c:pt>
                <c:pt idx="5">
                  <c:v>T2/09</c:v>
                </c:pt>
                <c:pt idx="6">
                  <c:v>T3/09</c:v>
                </c:pt>
                <c:pt idx="7">
                  <c:v>T4/09</c:v>
                </c:pt>
                <c:pt idx="8">
                  <c:v>T1/10</c:v>
                </c:pt>
                <c:pt idx="9">
                  <c:v>T2/10</c:v>
                </c:pt>
                <c:pt idx="10">
                  <c:v>T3/10</c:v>
                </c:pt>
                <c:pt idx="11">
                  <c:v>T4/10</c:v>
                </c:pt>
                <c:pt idx="12">
                  <c:v>T1/11</c:v>
                </c:pt>
                <c:pt idx="13">
                  <c:v>T2/11</c:v>
                </c:pt>
                <c:pt idx="14">
                  <c:v>T3/11</c:v>
                </c:pt>
                <c:pt idx="15">
                  <c:v>T4/11</c:v>
                </c:pt>
                <c:pt idx="16">
                  <c:v>T1/12</c:v>
                </c:pt>
                <c:pt idx="17">
                  <c:v>T2/12</c:v>
                </c:pt>
                <c:pt idx="18">
                  <c:v>T3/12</c:v>
                </c:pt>
                <c:pt idx="19">
                  <c:v>T4/12</c:v>
                </c:pt>
                <c:pt idx="20">
                  <c:v>T1/13</c:v>
                </c:pt>
                <c:pt idx="21">
                  <c:v>T2/13</c:v>
                </c:pt>
                <c:pt idx="22">
                  <c:v>T3/13</c:v>
                </c:pt>
                <c:pt idx="23">
                  <c:v>T4/13</c:v>
                </c:pt>
                <c:pt idx="24">
                  <c:v>T1/14</c:v>
                </c:pt>
                <c:pt idx="25">
                  <c:v>T2/14</c:v>
                </c:pt>
                <c:pt idx="26">
                  <c:v>T3/14</c:v>
                </c:pt>
                <c:pt idx="27">
                  <c:v>T4/14</c:v>
                </c:pt>
                <c:pt idx="28">
                  <c:v>T1/15</c:v>
                </c:pt>
                <c:pt idx="29">
                  <c:v>T2/15</c:v>
                </c:pt>
                <c:pt idx="30">
                  <c:v>T3/15</c:v>
                </c:pt>
                <c:pt idx="31">
                  <c:v>T4/15</c:v>
                </c:pt>
                <c:pt idx="32">
                  <c:v>T1/16</c:v>
                </c:pt>
                <c:pt idx="33">
                  <c:v>T2/16</c:v>
                </c:pt>
                <c:pt idx="34">
                  <c:v>T3/16</c:v>
                </c:pt>
                <c:pt idx="35">
                  <c:v>T4/16</c:v>
                </c:pt>
                <c:pt idx="36">
                  <c:v>T1/17</c:v>
                </c:pt>
                <c:pt idx="37">
                  <c:v>T2/17</c:v>
                </c:pt>
                <c:pt idx="38">
                  <c:v>T3/17</c:v>
                </c:pt>
                <c:pt idx="39">
                  <c:v>T4/17</c:v>
                </c:pt>
                <c:pt idx="40">
                  <c:v>T1/18</c:v>
                </c:pt>
                <c:pt idx="41">
                  <c:v>T2/18</c:v>
                </c:pt>
                <c:pt idx="42">
                  <c:v>T3/18</c:v>
                </c:pt>
                <c:pt idx="43">
                  <c:v>T4/18</c:v>
                </c:pt>
                <c:pt idx="44">
                  <c:v>T1/19</c:v>
                </c:pt>
                <c:pt idx="45">
                  <c:v>T2/19</c:v>
                </c:pt>
                <c:pt idx="46">
                  <c:v>T3/19</c:v>
                </c:pt>
                <c:pt idx="47">
                  <c:v>T4/19</c:v>
                </c:pt>
                <c:pt idx="48">
                  <c:v>T1/20</c:v>
                </c:pt>
                <c:pt idx="49">
                  <c:v>T2/20</c:v>
                </c:pt>
                <c:pt idx="50">
                  <c:v>T3/20</c:v>
                </c:pt>
                <c:pt idx="51">
                  <c:v>T4/20</c:v>
                </c:pt>
                <c:pt idx="52">
                  <c:v>T1/21</c:v>
                </c:pt>
                <c:pt idx="53">
                  <c:v>T2/21</c:v>
                </c:pt>
                <c:pt idx="54">
                  <c:v>T3/21</c:v>
                </c:pt>
                <c:pt idx="55">
                  <c:v>T4/21</c:v>
                </c:pt>
                <c:pt idx="56">
                  <c:v>T1/22</c:v>
                </c:pt>
                <c:pt idx="57">
                  <c:v>T2/22</c:v>
                </c:pt>
                <c:pt idx="58">
                  <c:v>T3/22</c:v>
                </c:pt>
                <c:pt idx="59">
                  <c:v>T4/22</c:v>
                </c:pt>
              </c:strCache>
            </c:strRef>
          </c:cat>
          <c:val>
            <c:numRef>
              <c:f>'tableau note ar'!$B$2:$BI$2</c:f>
              <c:numCache>
                <c:formatCode>0.0</c:formatCode>
                <c:ptCount val="60"/>
                <c:pt idx="0">
                  <c:v>85.866502294191648</c:v>
                </c:pt>
                <c:pt idx="1">
                  <c:v>77.678707955853127</c:v>
                </c:pt>
                <c:pt idx="2">
                  <c:v>75.552480635756424</c:v>
                </c:pt>
                <c:pt idx="3">
                  <c:v>80.136884034904526</c:v>
                </c:pt>
                <c:pt idx="4">
                  <c:v>76.902419880745626</c:v>
                </c:pt>
                <c:pt idx="5">
                  <c:v>77.636131881705708</c:v>
                </c:pt>
                <c:pt idx="6">
                  <c:v>79.135624759962667</c:v>
                </c:pt>
                <c:pt idx="7">
                  <c:v>79.463913413558046</c:v>
                </c:pt>
                <c:pt idx="8">
                  <c:v>80.13608609361917</c:v>
                </c:pt>
                <c:pt idx="9">
                  <c:v>78.83338833057428</c:v>
                </c:pt>
                <c:pt idx="10">
                  <c:v>78.629956901853419</c:v>
                </c:pt>
                <c:pt idx="11">
                  <c:v>74.744893710814793</c:v>
                </c:pt>
                <c:pt idx="12">
                  <c:v>78.406406130604836</c:v>
                </c:pt>
                <c:pt idx="13">
                  <c:v>85.789532632532584</c:v>
                </c:pt>
                <c:pt idx="14">
                  <c:v>86.506225251482533</c:v>
                </c:pt>
                <c:pt idx="15">
                  <c:v>84.477214694877034</c:v>
                </c:pt>
                <c:pt idx="16">
                  <c:v>82.880478542821578</c:v>
                </c:pt>
                <c:pt idx="17">
                  <c:v>80.673652783725359</c:v>
                </c:pt>
                <c:pt idx="18">
                  <c:v>77.5538670365694</c:v>
                </c:pt>
                <c:pt idx="19">
                  <c:v>78.403353681349529</c:v>
                </c:pt>
                <c:pt idx="20">
                  <c:v>75.830193123476278</c:v>
                </c:pt>
                <c:pt idx="21">
                  <c:v>74.26831493920966</c:v>
                </c:pt>
                <c:pt idx="22">
                  <c:v>75.40113716912164</c:v>
                </c:pt>
                <c:pt idx="23">
                  <c:v>74.15325435026638</c:v>
                </c:pt>
                <c:pt idx="24">
                  <c:v>74.110620959005985</c:v>
                </c:pt>
                <c:pt idx="25">
                  <c:v>74.014553099961617</c:v>
                </c:pt>
                <c:pt idx="26">
                  <c:v>73.148145370690258</c:v>
                </c:pt>
                <c:pt idx="27">
                  <c:v>71.583460003653741</c:v>
                </c:pt>
                <c:pt idx="28">
                  <c:v>73.659282965035374</c:v>
                </c:pt>
                <c:pt idx="29">
                  <c:v>76.125099572807898</c:v>
                </c:pt>
                <c:pt idx="30">
                  <c:v>76.315005733686007</c:v>
                </c:pt>
                <c:pt idx="31">
                  <c:v>77.131028825386352</c:v>
                </c:pt>
                <c:pt idx="32">
                  <c:v>71.648499016392478</c:v>
                </c:pt>
                <c:pt idx="33">
                  <c:v>75.703427371681059</c:v>
                </c:pt>
                <c:pt idx="34">
                  <c:v>73.804891243097046</c:v>
                </c:pt>
                <c:pt idx="35">
                  <c:v>73.539376287214708</c:v>
                </c:pt>
                <c:pt idx="36">
                  <c:v>78.230698468980961</c:v>
                </c:pt>
                <c:pt idx="37">
                  <c:v>85.8</c:v>
                </c:pt>
                <c:pt idx="38">
                  <c:v>85.5</c:v>
                </c:pt>
                <c:pt idx="39">
                  <c:v>85.9</c:v>
                </c:pt>
                <c:pt idx="40">
                  <c:v>87.317111388814197</c:v>
                </c:pt>
                <c:pt idx="41">
                  <c:v>87.279337774029287</c:v>
                </c:pt>
                <c:pt idx="42">
                  <c:v>82.473279380066572</c:v>
                </c:pt>
                <c:pt idx="43">
                  <c:v>79.8</c:v>
                </c:pt>
                <c:pt idx="44">
                  <c:v>79.104981863169797</c:v>
                </c:pt>
                <c:pt idx="45">
                  <c:v>74.905107002702309</c:v>
                </c:pt>
                <c:pt idx="46">
                  <c:v>74.821311833193946</c:v>
                </c:pt>
                <c:pt idx="47">
                  <c:v>77.783342120372509</c:v>
                </c:pt>
                <c:pt idx="48">
                  <c:v>75.733160637772457</c:v>
                </c:pt>
                <c:pt idx="49">
                  <c:v>65.597735117391437</c:v>
                </c:pt>
                <c:pt idx="50">
                  <c:v>60.6</c:v>
                </c:pt>
                <c:pt idx="51">
                  <c:v>61.15460503678139</c:v>
                </c:pt>
                <c:pt idx="52">
                  <c:v>68.3</c:v>
                </c:pt>
                <c:pt idx="53">
                  <c:v>62.975895024721467</c:v>
                </c:pt>
                <c:pt idx="54">
                  <c:v>65.469321461685027</c:v>
                </c:pt>
                <c:pt idx="55">
                  <c:v>61.244838328447536</c:v>
                </c:pt>
                <c:pt idx="56">
                  <c:v>53.745567465683777</c:v>
                </c:pt>
                <c:pt idx="57">
                  <c:v>50.111231811293422</c:v>
                </c:pt>
                <c:pt idx="58">
                  <c:v>47.411849848039999</c:v>
                </c:pt>
                <c:pt idx="59" formatCode="#,##0.0">
                  <c:v>46.606895890263495</c:v>
                </c:pt>
              </c:numCache>
            </c:numRef>
          </c:val>
        </c:ser>
        <c:axId val="59137408"/>
        <c:axId val="59139200"/>
      </c:barChart>
      <c:catAx>
        <c:axId val="59137408"/>
        <c:scaling>
          <c:orientation val="minMax"/>
        </c:scaling>
        <c:axPos val="b"/>
        <c:majorTickMark val="none"/>
        <c:tickLblPos val="nextTo"/>
        <c:txPr>
          <a:bodyPr/>
          <a:lstStyle/>
          <a:p>
            <a:pPr>
              <a:defRPr sz="500"/>
            </a:pPr>
            <a:endParaRPr lang="fr-FR"/>
          </a:p>
        </c:txPr>
        <c:crossAx val="59139200"/>
        <c:crosses val="autoZero"/>
        <c:auto val="1"/>
        <c:lblAlgn val="ctr"/>
        <c:lblOffset val="100"/>
      </c:catAx>
      <c:valAx>
        <c:axId val="59139200"/>
        <c:scaling>
          <c:orientation val="minMax"/>
          <c:min val="40"/>
        </c:scaling>
        <c:axPos val="l"/>
        <c:majorGridlines/>
        <c:numFmt formatCode="0.0" sourceLinked="1"/>
        <c:majorTickMark val="none"/>
        <c:tickLblPos val="nextTo"/>
        <c:txPr>
          <a:bodyPr/>
          <a:lstStyle/>
          <a:p>
            <a:pPr>
              <a:defRPr sz="700"/>
            </a:pPr>
            <a:endParaRPr lang="fr-FR"/>
          </a:p>
        </c:txPr>
        <c:crossAx val="59137408"/>
        <c:crosses val="autoZero"/>
        <c:crossBetween val="between"/>
      </c:valAx>
    </c:plotArea>
    <c:plotVisOnly val="1"/>
    <c:dispBlanksAs val="gap"/>
  </c:chart>
  <c:externalData r:id="rId1"/>
</c:chartSpace>
</file>

<file path=word/charts/chart2.xml><?xml version="1.0" encoding="utf-8"?>
<c:chartSpace xmlns:c="http://schemas.openxmlformats.org/drawingml/2006/chart" xmlns:a="http://schemas.openxmlformats.org/drawingml/2006/main" xmlns:r="http://schemas.openxmlformats.org/officeDocument/2006/relationships">
  <c:date1904 val="1"/>
  <c:lang val="fr-FR"/>
  <c:chart>
    <c:autoTitleDeleted val="1"/>
    <c:plotArea>
      <c:layout>
        <c:manualLayout>
          <c:layoutTarget val="inner"/>
          <c:xMode val="edge"/>
          <c:yMode val="edge"/>
          <c:x val="6.2276644987490894E-2"/>
          <c:y val="5.4796084235549242E-2"/>
          <c:w val="0.90676282704361133"/>
          <c:h val="0.68112586275034592"/>
        </c:manualLayout>
      </c:layout>
      <c:lineChart>
        <c:grouping val="standard"/>
        <c:ser>
          <c:idx val="0"/>
          <c:order val="0"/>
          <c:tx>
            <c:strRef>
              <c:f>'tableau note ar'!$A$4</c:f>
              <c:strCache>
                <c:ptCount val="1"/>
                <c:pt idx="0">
                  <c:v>التطور السابق لمستوى المعيشة</c:v>
                </c:pt>
              </c:strCache>
            </c:strRef>
          </c:tx>
          <c:marker>
            <c:symbol val="circle"/>
            <c:size val="4"/>
          </c:marker>
          <c:cat>
            <c:strRef>
              <c:f>'tableau note ar'!$B$1:$BI$1</c:f>
              <c:strCache>
                <c:ptCount val="60"/>
                <c:pt idx="0">
                  <c:v>T1/08</c:v>
                </c:pt>
                <c:pt idx="1">
                  <c:v>T2/08</c:v>
                </c:pt>
                <c:pt idx="2">
                  <c:v>T3/08</c:v>
                </c:pt>
                <c:pt idx="3">
                  <c:v>T4/08</c:v>
                </c:pt>
                <c:pt idx="4">
                  <c:v>T1/09</c:v>
                </c:pt>
                <c:pt idx="5">
                  <c:v>T2/09</c:v>
                </c:pt>
                <c:pt idx="6">
                  <c:v>T3/09</c:v>
                </c:pt>
                <c:pt idx="7">
                  <c:v>T4/09</c:v>
                </c:pt>
                <c:pt idx="8">
                  <c:v>T1/10</c:v>
                </c:pt>
                <c:pt idx="9">
                  <c:v>T2/10</c:v>
                </c:pt>
                <c:pt idx="10">
                  <c:v>T3/10</c:v>
                </c:pt>
                <c:pt idx="11">
                  <c:v>T4/10</c:v>
                </c:pt>
                <c:pt idx="12">
                  <c:v>T1/11</c:v>
                </c:pt>
                <c:pt idx="13">
                  <c:v>T2/11</c:v>
                </c:pt>
                <c:pt idx="14">
                  <c:v>T3/11</c:v>
                </c:pt>
                <c:pt idx="15">
                  <c:v>T4/11</c:v>
                </c:pt>
                <c:pt idx="16">
                  <c:v>T1/12</c:v>
                </c:pt>
                <c:pt idx="17">
                  <c:v>T2/12</c:v>
                </c:pt>
                <c:pt idx="18">
                  <c:v>T3/12</c:v>
                </c:pt>
                <c:pt idx="19">
                  <c:v>T4/12</c:v>
                </c:pt>
                <c:pt idx="20">
                  <c:v>T1/13</c:v>
                </c:pt>
                <c:pt idx="21">
                  <c:v>T2/13</c:v>
                </c:pt>
                <c:pt idx="22">
                  <c:v>T3/13</c:v>
                </c:pt>
                <c:pt idx="23">
                  <c:v>T4/13</c:v>
                </c:pt>
                <c:pt idx="24">
                  <c:v>T1/14</c:v>
                </c:pt>
                <c:pt idx="25">
                  <c:v>T2/14</c:v>
                </c:pt>
                <c:pt idx="26">
                  <c:v>T3/14</c:v>
                </c:pt>
                <c:pt idx="27">
                  <c:v>T4/14</c:v>
                </c:pt>
                <c:pt idx="28">
                  <c:v>T1/15</c:v>
                </c:pt>
                <c:pt idx="29">
                  <c:v>T2/15</c:v>
                </c:pt>
                <c:pt idx="30">
                  <c:v>T3/15</c:v>
                </c:pt>
                <c:pt idx="31">
                  <c:v>T4/15</c:v>
                </c:pt>
                <c:pt idx="32">
                  <c:v>T1/16</c:v>
                </c:pt>
                <c:pt idx="33">
                  <c:v>T2/16</c:v>
                </c:pt>
                <c:pt idx="34">
                  <c:v>T3/16</c:v>
                </c:pt>
                <c:pt idx="35">
                  <c:v>T4/16</c:v>
                </c:pt>
                <c:pt idx="36">
                  <c:v>T1/17</c:v>
                </c:pt>
                <c:pt idx="37">
                  <c:v>T2/17</c:v>
                </c:pt>
                <c:pt idx="38">
                  <c:v>T3/17</c:v>
                </c:pt>
                <c:pt idx="39">
                  <c:v>T4/17</c:v>
                </c:pt>
                <c:pt idx="40">
                  <c:v>T1/18</c:v>
                </c:pt>
                <c:pt idx="41">
                  <c:v>T2/18</c:v>
                </c:pt>
                <c:pt idx="42">
                  <c:v>T3/18</c:v>
                </c:pt>
                <c:pt idx="43">
                  <c:v>T4/18</c:v>
                </c:pt>
                <c:pt idx="44">
                  <c:v>T1/19</c:v>
                </c:pt>
                <c:pt idx="45">
                  <c:v>T2/19</c:v>
                </c:pt>
                <c:pt idx="46">
                  <c:v>T3/19</c:v>
                </c:pt>
                <c:pt idx="47">
                  <c:v>T4/19</c:v>
                </c:pt>
                <c:pt idx="48">
                  <c:v>T1/20</c:v>
                </c:pt>
                <c:pt idx="49">
                  <c:v>T2/20</c:v>
                </c:pt>
                <c:pt idx="50">
                  <c:v>T3/20</c:v>
                </c:pt>
                <c:pt idx="51">
                  <c:v>T4/20</c:v>
                </c:pt>
                <c:pt idx="52">
                  <c:v>T1/21</c:v>
                </c:pt>
                <c:pt idx="53">
                  <c:v>T2/21</c:v>
                </c:pt>
                <c:pt idx="54">
                  <c:v>T3/21</c:v>
                </c:pt>
                <c:pt idx="55">
                  <c:v>T4/21</c:v>
                </c:pt>
                <c:pt idx="56">
                  <c:v>T1/22</c:v>
                </c:pt>
                <c:pt idx="57">
                  <c:v>T2/22</c:v>
                </c:pt>
                <c:pt idx="58">
                  <c:v>T3/22</c:v>
                </c:pt>
                <c:pt idx="59">
                  <c:v>T4/22</c:v>
                </c:pt>
              </c:strCache>
            </c:strRef>
          </c:cat>
          <c:val>
            <c:numRef>
              <c:f>'tableau note ar'!$B$4:$BI$4</c:f>
              <c:numCache>
                <c:formatCode>#,##0.0</c:formatCode>
                <c:ptCount val="60"/>
                <c:pt idx="0">
                  <c:v>-10.399945582052929</c:v>
                </c:pt>
                <c:pt idx="1">
                  <c:v>-25.15337945599229</c:v>
                </c:pt>
                <c:pt idx="2">
                  <c:v>-31.141291421499716</c:v>
                </c:pt>
                <c:pt idx="3">
                  <c:v>-29.393844818665293</c:v>
                </c:pt>
                <c:pt idx="4">
                  <c:v>-36.652789359955584</c:v>
                </c:pt>
                <c:pt idx="5">
                  <c:v>-29.108394514506987</c:v>
                </c:pt>
                <c:pt idx="6">
                  <c:v>-25.702364309825629</c:v>
                </c:pt>
                <c:pt idx="7">
                  <c:v>-26.546435956901789</c:v>
                </c:pt>
                <c:pt idx="8">
                  <c:v>-25.723634629573013</c:v>
                </c:pt>
                <c:pt idx="9">
                  <c:v>-28.56499551903989</c:v>
                </c:pt>
                <c:pt idx="10">
                  <c:v>-27.930454212484364</c:v>
                </c:pt>
                <c:pt idx="11">
                  <c:v>-37.236760344983374</c:v>
                </c:pt>
                <c:pt idx="12">
                  <c:v>-26.050959167650056</c:v>
                </c:pt>
                <c:pt idx="13">
                  <c:v>-16.961438303130894</c:v>
                </c:pt>
                <c:pt idx="14">
                  <c:v>-13.439142519852009</c:v>
                </c:pt>
                <c:pt idx="15">
                  <c:v>-20.224270151200944</c:v>
                </c:pt>
                <c:pt idx="16">
                  <c:v>-26.170201326733839</c:v>
                </c:pt>
                <c:pt idx="17">
                  <c:v>-21.816848529134631</c:v>
                </c:pt>
                <c:pt idx="18">
                  <c:v>-27.85707555673623</c:v>
                </c:pt>
                <c:pt idx="19">
                  <c:v>-28.08870835116868</c:v>
                </c:pt>
                <c:pt idx="20">
                  <c:v>-29.212341127418195</c:v>
                </c:pt>
                <c:pt idx="21">
                  <c:v>-23.102864483982064</c:v>
                </c:pt>
                <c:pt idx="22">
                  <c:v>-21.158266803557588</c:v>
                </c:pt>
                <c:pt idx="23">
                  <c:v>-19.887264929132375</c:v>
                </c:pt>
                <c:pt idx="24">
                  <c:v>-18.06021976920189</c:v>
                </c:pt>
                <c:pt idx="25">
                  <c:v>-17.740461010850293</c:v>
                </c:pt>
                <c:pt idx="26">
                  <c:v>-17.387590506775641</c:v>
                </c:pt>
                <c:pt idx="27">
                  <c:v>-16.459915505713987</c:v>
                </c:pt>
                <c:pt idx="28">
                  <c:v>-14.108179132101393</c:v>
                </c:pt>
                <c:pt idx="29">
                  <c:v>-12.785821926678448</c:v>
                </c:pt>
                <c:pt idx="30">
                  <c:v>-15.129825087046068</c:v>
                </c:pt>
                <c:pt idx="31">
                  <c:v>-13.828410383657548</c:v>
                </c:pt>
                <c:pt idx="32">
                  <c:v>-22.864633579953797</c:v>
                </c:pt>
                <c:pt idx="33">
                  <c:v>-15.196177330129153</c:v>
                </c:pt>
                <c:pt idx="34">
                  <c:v>-17.372021059071617</c:v>
                </c:pt>
                <c:pt idx="35">
                  <c:v>-17.464225574589349</c:v>
                </c:pt>
                <c:pt idx="36">
                  <c:v>-11.990228520502578</c:v>
                </c:pt>
                <c:pt idx="37">
                  <c:v>-8.1644944099805006</c:v>
                </c:pt>
                <c:pt idx="38">
                  <c:v>-3.1370023233621227</c:v>
                </c:pt>
                <c:pt idx="39">
                  <c:v>-3.7719246964283601</c:v>
                </c:pt>
                <c:pt idx="40">
                  <c:v>-6.24696090915109</c:v>
                </c:pt>
                <c:pt idx="41" formatCode="General">
                  <c:v>-5.3830093381329069</c:v>
                </c:pt>
                <c:pt idx="42" formatCode="0.0">
                  <c:v>-9.5049571220917919</c:v>
                </c:pt>
                <c:pt idx="43" formatCode="0.0">
                  <c:v>-13.3</c:v>
                </c:pt>
                <c:pt idx="44" formatCode="0.0">
                  <c:v>-14.967427927122973</c:v>
                </c:pt>
                <c:pt idx="45" formatCode="0.0">
                  <c:v>-25.353008106891483</c:v>
                </c:pt>
                <c:pt idx="46" formatCode="0.0">
                  <c:v>-20.237097183526259</c:v>
                </c:pt>
                <c:pt idx="47" formatCode="0.0">
                  <c:v>-19.996896512157345</c:v>
                </c:pt>
                <c:pt idx="48" formatCode="0.0">
                  <c:v>-19.767991560587593</c:v>
                </c:pt>
                <c:pt idx="49" formatCode="0.0">
                  <c:v>-24.751522052511689</c:v>
                </c:pt>
                <c:pt idx="50" formatCode="0.0">
                  <c:v>-35.633876933169311</c:v>
                </c:pt>
                <c:pt idx="51" formatCode="0.0">
                  <c:v>-46.607458922581834</c:v>
                </c:pt>
                <c:pt idx="52" formatCode="0.0">
                  <c:v>-50.5</c:v>
                </c:pt>
                <c:pt idx="53" formatCode="0.0">
                  <c:v>-50.789884569181098</c:v>
                </c:pt>
                <c:pt idx="54" formatCode="0.0">
                  <c:v>-41.509403430971062</c:v>
                </c:pt>
                <c:pt idx="55" formatCode="###0.0">
                  <c:v>-55.207171712499431</c:v>
                </c:pt>
                <c:pt idx="56" formatCode="###0.0">
                  <c:v>-66.848800336369607</c:v>
                </c:pt>
                <c:pt idx="57" formatCode="###0.0">
                  <c:v>-72.973367191898419</c:v>
                </c:pt>
                <c:pt idx="58" formatCode="###0.0">
                  <c:v>-74.584296237560608</c:v>
                </c:pt>
                <c:pt idx="59" formatCode="###0.0">
                  <c:v>-77.955196192924546</c:v>
                </c:pt>
              </c:numCache>
            </c:numRef>
          </c:val>
        </c:ser>
        <c:ser>
          <c:idx val="1"/>
          <c:order val="1"/>
          <c:tx>
            <c:strRef>
              <c:f>'tableau note ar'!$A$5</c:f>
              <c:strCache>
                <c:ptCount val="1"/>
                <c:pt idx="0">
                  <c:v>التطور المستقبلي لمستوى المعيشة</c:v>
                </c:pt>
              </c:strCache>
            </c:strRef>
          </c:tx>
          <c:cat>
            <c:strRef>
              <c:f>'tableau note ar'!$B$1:$BI$1</c:f>
              <c:strCache>
                <c:ptCount val="60"/>
                <c:pt idx="0">
                  <c:v>T1/08</c:v>
                </c:pt>
                <c:pt idx="1">
                  <c:v>T2/08</c:v>
                </c:pt>
                <c:pt idx="2">
                  <c:v>T3/08</c:v>
                </c:pt>
                <c:pt idx="3">
                  <c:v>T4/08</c:v>
                </c:pt>
                <c:pt idx="4">
                  <c:v>T1/09</c:v>
                </c:pt>
                <c:pt idx="5">
                  <c:v>T2/09</c:v>
                </c:pt>
                <c:pt idx="6">
                  <c:v>T3/09</c:v>
                </c:pt>
                <c:pt idx="7">
                  <c:v>T4/09</c:v>
                </c:pt>
                <c:pt idx="8">
                  <c:v>T1/10</c:v>
                </c:pt>
                <c:pt idx="9">
                  <c:v>T2/10</c:v>
                </c:pt>
                <c:pt idx="10">
                  <c:v>T3/10</c:v>
                </c:pt>
                <c:pt idx="11">
                  <c:v>T4/10</c:v>
                </c:pt>
                <c:pt idx="12">
                  <c:v>T1/11</c:v>
                </c:pt>
                <c:pt idx="13">
                  <c:v>T2/11</c:v>
                </c:pt>
                <c:pt idx="14">
                  <c:v>T3/11</c:v>
                </c:pt>
                <c:pt idx="15">
                  <c:v>T4/11</c:v>
                </c:pt>
                <c:pt idx="16">
                  <c:v>T1/12</c:v>
                </c:pt>
                <c:pt idx="17">
                  <c:v>T2/12</c:v>
                </c:pt>
                <c:pt idx="18">
                  <c:v>T3/12</c:v>
                </c:pt>
                <c:pt idx="19">
                  <c:v>T4/12</c:v>
                </c:pt>
                <c:pt idx="20">
                  <c:v>T1/13</c:v>
                </c:pt>
                <c:pt idx="21">
                  <c:v>T2/13</c:v>
                </c:pt>
                <c:pt idx="22">
                  <c:v>T3/13</c:v>
                </c:pt>
                <c:pt idx="23">
                  <c:v>T4/13</c:v>
                </c:pt>
                <c:pt idx="24">
                  <c:v>T1/14</c:v>
                </c:pt>
                <c:pt idx="25">
                  <c:v>T2/14</c:v>
                </c:pt>
                <c:pt idx="26">
                  <c:v>T3/14</c:v>
                </c:pt>
                <c:pt idx="27">
                  <c:v>T4/14</c:v>
                </c:pt>
                <c:pt idx="28">
                  <c:v>T1/15</c:v>
                </c:pt>
                <c:pt idx="29">
                  <c:v>T2/15</c:v>
                </c:pt>
                <c:pt idx="30">
                  <c:v>T3/15</c:v>
                </c:pt>
                <c:pt idx="31">
                  <c:v>T4/15</c:v>
                </c:pt>
                <c:pt idx="32">
                  <c:v>T1/16</c:v>
                </c:pt>
                <c:pt idx="33">
                  <c:v>T2/16</c:v>
                </c:pt>
                <c:pt idx="34">
                  <c:v>T3/16</c:v>
                </c:pt>
                <c:pt idx="35">
                  <c:v>T4/16</c:v>
                </c:pt>
                <c:pt idx="36">
                  <c:v>T1/17</c:v>
                </c:pt>
                <c:pt idx="37">
                  <c:v>T2/17</c:v>
                </c:pt>
                <c:pt idx="38">
                  <c:v>T3/17</c:v>
                </c:pt>
                <c:pt idx="39">
                  <c:v>T4/17</c:v>
                </c:pt>
                <c:pt idx="40">
                  <c:v>T1/18</c:v>
                </c:pt>
                <c:pt idx="41">
                  <c:v>T2/18</c:v>
                </c:pt>
                <c:pt idx="42">
                  <c:v>T3/18</c:v>
                </c:pt>
                <c:pt idx="43">
                  <c:v>T4/18</c:v>
                </c:pt>
                <c:pt idx="44">
                  <c:v>T1/19</c:v>
                </c:pt>
                <c:pt idx="45">
                  <c:v>T2/19</c:v>
                </c:pt>
                <c:pt idx="46">
                  <c:v>T3/19</c:v>
                </c:pt>
                <c:pt idx="47">
                  <c:v>T4/19</c:v>
                </c:pt>
                <c:pt idx="48">
                  <c:v>T1/20</c:v>
                </c:pt>
                <c:pt idx="49">
                  <c:v>T2/20</c:v>
                </c:pt>
                <c:pt idx="50">
                  <c:v>T3/20</c:v>
                </c:pt>
                <c:pt idx="51">
                  <c:v>T4/20</c:v>
                </c:pt>
                <c:pt idx="52">
                  <c:v>T1/21</c:v>
                </c:pt>
                <c:pt idx="53">
                  <c:v>T2/21</c:v>
                </c:pt>
                <c:pt idx="54">
                  <c:v>T3/21</c:v>
                </c:pt>
                <c:pt idx="55">
                  <c:v>T4/21</c:v>
                </c:pt>
                <c:pt idx="56">
                  <c:v>T1/22</c:v>
                </c:pt>
                <c:pt idx="57">
                  <c:v>T2/22</c:v>
                </c:pt>
                <c:pt idx="58">
                  <c:v>T3/22</c:v>
                </c:pt>
                <c:pt idx="59">
                  <c:v>T4/22</c:v>
                </c:pt>
              </c:strCache>
            </c:strRef>
          </c:cat>
          <c:val>
            <c:numRef>
              <c:f>'tableau note ar'!$B$5:$BI$5</c:f>
              <c:numCache>
                <c:formatCode>#,##0.0</c:formatCode>
                <c:ptCount val="60"/>
                <c:pt idx="0">
                  <c:v>14.440493946063453</c:v>
                </c:pt>
                <c:pt idx="1">
                  <c:v>-11.52673084245559</c:v>
                </c:pt>
                <c:pt idx="2">
                  <c:v>-21.380291437825413</c:v>
                </c:pt>
                <c:pt idx="3">
                  <c:v>-3.4692228168248267</c:v>
                </c:pt>
                <c:pt idx="4">
                  <c:v>-9.3118753956095954</c:v>
                </c:pt>
                <c:pt idx="5">
                  <c:v>-3.5223109272796771</c:v>
                </c:pt>
                <c:pt idx="6">
                  <c:v>8.4334302751112797E-2</c:v>
                </c:pt>
                <c:pt idx="7">
                  <c:v>2.1853913991610052</c:v>
                </c:pt>
                <c:pt idx="8">
                  <c:v>0.39154986438085593</c:v>
                </c:pt>
                <c:pt idx="9">
                  <c:v>2.7314646872285109</c:v>
                </c:pt>
                <c:pt idx="10">
                  <c:v>0.19418325799955119</c:v>
                </c:pt>
                <c:pt idx="11">
                  <c:v>-11.371112777150765</c:v>
                </c:pt>
                <c:pt idx="12">
                  <c:v>-1.8875512037963609</c:v>
                </c:pt>
                <c:pt idx="13">
                  <c:v>18.13213993657881</c:v>
                </c:pt>
                <c:pt idx="14">
                  <c:v>11.870106120928284</c:v>
                </c:pt>
                <c:pt idx="15">
                  <c:v>13.146309479543481</c:v>
                </c:pt>
                <c:pt idx="16">
                  <c:v>11.211772002164619</c:v>
                </c:pt>
                <c:pt idx="17">
                  <c:v>8.9776180181468028</c:v>
                </c:pt>
                <c:pt idx="18">
                  <c:v>-3.2327838268829292</c:v>
                </c:pt>
                <c:pt idx="19">
                  <c:v>-1.2159862376115478</c:v>
                </c:pt>
                <c:pt idx="20">
                  <c:v>-5.0957647237932591</c:v>
                </c:pt>
                <c:pt idx="21">
                  <c:v>-4.2068608448306426</c:v>
                </c:pt>
                <c:pt idx="22">
                  <c:v>-3.0973555754801207</c:v>
                </c:pt>
                <c:pt idx="23">
                  <c:v>-7.9340099346010531</c:v>
                </c:pt>
                <c:pt idx="24">
                  <c:v>-11.389732068783598</c:v>
                </c:pt>
                <c:pt idx="25">
                  <c:v>-13.063768224593518</c:v>
                </c:pt>
                <c:pt idx="26">
                  <c:v>-13.090700094553394</c:v>
                </c:pt>
                <c:pt idx="27">
                  <c:v>-12.672429336417753</c:v>
                </c:pt>
                <c:pt idx="28">
                  <c:v>-8.8537661336825266</c:v>
                </c:pt>
                <c:pt idx="29">
                  <c:v>-7.2727206831161793</c:v>
                </c:pt>
                <c:pt idx="30">
                  <c:v>-7.7131091840762114</c:v>
                </c:pt>
                <c:pt idx="31">
                  <c:v>-8.0828133778612727</c:v>
                </c:pt>
                <c:pt idx="32">
                  <c:v>-14.22824639578895</c:v>
                </c:pt>
                <c:pt idx="33">
                  <c:v>-7.5906192549525784</c:v>
                </c:pt>
                <c:pt idx="34">
                  <c:v>-7.0591296227720894</c:v>
                </c:pt>
                <c:pt idx="35">
                  <c:v>-2.3745123557304657</c:v>
                </c:pt>
                <c:pt idx="36">
                  <c:v>5.7386765593441833</c:v>
                </c:pt>
                <c:pt idx="37">
                  <c:v>11.056984366480338</c:v>
                </c:pt>
                <c:pt idx="38">
                  <c:v>10.513852464527606</c:v>
                </c:pt>
                <c:pt idx="39">
                  <c:v>11.534776778164916</c:v>
                </c:pt>
                <c:pt idx="40">
                  <c:v>16.612852585837704</c:v>
                </c:pt>
                <c:pt idx="41" formatCode="General">
                  <c:v>14.986375562038818</c:v>
                </c:pt>
                <c:pt idx="42" formatCode="0.0">
                  <c:v>11.908882798368182</c:v>
                </c:pt>
                <c:pt idx="43" formatCode="0.0">
                  <c:v>9</c:v>
                </c:pt>
                <c:pt idx="44" formatCode="0.0">
                  <c:v>9.9894562713734256</c:v>
                </c:pt>
                <c:pt idx="45" formatCode="0.0">
                  <c:v>4.7256177899689273</c:v>
                </c:pt>
                <c:pt idx="46" formatCode="0.0">
                  <c:v>-3.6764057837750337</c:v>
                </c:pt>
                <c:pt idx="47" formatCode="0.0">
                  <c:v>-2.1591381326741157</c:v>
                </c:pt>
                <c:pt idx="48" formatCode="0.0">
                  <c:v>-4.6486149345966226</c:v>
                </c:pt>
                <c:pt idx="49" formatCode="0.0">
                  <c:v>-11.439989639150372</c:v>
                </c:pt>
                <c:pt idx="50" formatCode="0.0">
                  <c:v>-17.39518349525548</c:v>
                </c:pt>
                <c:pt idx="51" formatCode="0.0">
                  <c:v>-17.398438698388123</c:v>
                </c:pt>
                <c:pt idx="52" formatCode="0.0">
                  <c:v>13.2</c:v>
                </c:pt>
                <c:pt idx="53" formatCode="0.0">
                  <c:v>0.23038768840290025</c:v>
                </c:pt>
                <c:pt idx="54" formatCode="0.0">
                  <c:v>9.3481827020713517</c:v>
                </c:pt>
                <c:pt idx="55" formatCode="###0.0">
                  <c:v>-1.3718594161528617</c:v>
                </c:pt>
                <c:pt idx="56" formatCode="###0.0">
                  <c:v>-21.440746708881619</c:v>
                </c:pt>
                <c:pt idx="57" formatCode="###0.0">
                  <c:v>-34.307671667317386</c:v>
                </c:pt>
                <c:pt idx="58" formatCode="###0.0">
                  <c:v>-41.560642466335395</c:v>
                </c:pt>
                <c:pt idx="59" formatCode="###0.0">
                  <c:v>-43.041302609193096</c:v>
                </c:pt>
              </c:numCache>
            </c:numRef>
          </c:val>
        </c:ser>
        <c:marker val="1"/>
        <c:axId val="59167488"/>
        <c:axId val="59169024"/>
      </c:lineChart>
      <c:catAx>
        <c:axId val="59167488"/>
        <c:scaling>
          <c:orientation val="minMax"/>
        </c:scaling>
        <c:axPos val="b"/>
        <c:numFmt formatCode="General" sourceLinked="0"/>
        <c:majorTickMark val="none"/>
        <c:tickLblPos val="low"/>
        <c:txPr>
          <a:bodyPr/>
          <a:lstStyle/>
          <a:p>
            <a:pPr>
              <a:defRPr lang="en-US" sz="500"/>
            </a:pPr>
            <a:endParaRPr lang="fr-FR"/>
          </a:p>
        </c:txPr>
        <c:crossAx val="59169024"/>
        <c:crosses val="autoZero"/>
        <c:auto val="1"/>
        <c:lblAlgn val="ctr"/>
        <c:lblOffset val="100"/>
      </c:catAx>
      <c:valAx>
        <c:axId val="59169024"/>
        <c:scaling>
          <c:orientation val="minMax"/>
          <c:min val="-80"/>
        </c:scaling>
        <c:axPos val="l"/>
        <c:majorGridlines/>
        <c:numFmt formatCode="#,##0" sourceLinked="0"/>
        <c:majorTickMark val="none"/>
        <c:tickLblPos val="nextTo"/>
        <c:spPr>
          <a:ln w="9525">
            <a:noFill/>
          </a:ln>
        </c:spPr>
        <c:txPr>
          <a:bodyPr/>
          <a:lstStyle/>
          <a:p>
            <a:pPr>
              <a:defRPr lang="en-US" sz="700"/>
            </a:pPr>
            <a:endParaRPr lang="fr-FR"/>
          </a:p>
        </c:txPr>
        <c:crossAx val="59167488"/>
        <c:crosses val="autoZero"/>
        <c:crossBetween val="between"/>
      </c:valAx>
    </c:plotArea>
    <c:legend>
      <c:legendPos val="b"/>
      <c:layout>
        <c:manualLayout>
          <c:xMode val="edge"/>
          <c:yMode val="edge"/>
          <c:x val="0.19921341275649249"/>
          <c:y val="0.86342242533957214"/>
          <c:w val="0.60157301632816285"/>
          <c:h val="6.844570521849587E-2"/>
        </c:manualLayout>
      </c:layout>
      <c:txPr>
        <a:bodyPr/>
        <a:lstStyle/>
        <a:p>
          <a:pPr>
            <a:defRPr lang="en-US"/>
          </a:pPr>
          <a:endParaRPr lang="fr-FR"/>
        </a:p>
      </c:txPr>
    </c:legend>
    <c:plotVisOnly val="1"/>
    <c:dispBlanksAs val="gap"/>
  </c:chart>
  <c:spPr>
    <a:ln w="3175">
      <a:solidFill>
        <a:schemeClr val="tx1"/>
      </a:solidFill>
    </a:ln>
  </c:spPr>
  <c:externalData r:id="rId1"/>
</c:chartSpace>
</file>

<file path=word/charts/chart3.xml><?xml version="1.0" encoding="utf-8"?>
<c:chartSpace xmlns:c="http://schemas.openxmlformats.org/drawingml/2006/chart" xmlns:a="http://schemas.openxmlformats.org/drawingml/2006/main" xmlns:r="http://schemas.openxmlformats.org/officeDocument/2006/relationships">
  <c:date1904 val="1"/>
  <c:lang val="fr-FR"/>
  <c:chart>
    <c:autoTitleDeleted val="1"/>
    <c:plotArea>
      <c:layout>
        <c:manualLayout>
          <c:layoutTarget val="inner"/>
          <c:xMode val="edge"/>
          <c:yMode val="edge"/>
          <c:x val="6.4035333038838488E-2"/>
          <c:y val="3.7964824516634681E-2"/>
          <c:w val="0.91376631507358663"/>
          <c:h val="0.75948633730895954"/>
        </c:manualLayout>
      </c:layout>
      <c:lineChart>
        <c:grouping val="standard"/>
        <c:ser>
          <c:idx val="0"/>
          <c:order val="0"/>
          <c:tx>
            <c:strRef>
              <c:f>'tableau note ar'!$A$3</c:f>
              <c:strCache>
                <c:ptCount val="1"/>
                <c:pt idx="0">
                  <c:v>التطور المستقبلي للبطالة</c:v>
                </c:pt>
              </c:strCache>
            </c:strRef>
          </c:tx>
          <c:marker>
            <c:symbol val="none"/>
          </c:marker>
          <c:cat>
            <c:strRef>
              <c:f>'tableau note ar'!$B$1:$BI$1</c:f>
              <c:strCache>
                <c:ptCount val="60"/>
                <c:pt idx="0">
                  <c:v>T1/08</c:v>
                </c:pt>
                <c:pt idx="1">
                  <c:v>T2/08</c:v>
                </c:pt>
                <c:pt idx="2">
                  <c:v>T3/08</c:v>
                </c:pt>
                <c:pt idx="3">
                  <c:v>T4/08</c:v>
                </c:pt>
                <c:pt idx="4">
                  <c:v>T1/09</c:v>
                </c:pt>
                <c:pt idx="5">
                  <c:v>T2/09</c:v>
                </c:pt>
                <c:pt idx="6">
                  <c:v>T3/09</c:v>
                </c:pt>
                <c:pt idx="7">
                  <c:v>T4/09</c:v>
                </c:pt>
                <c:pt idx="8">
                  <c:v>T1/10</c:v>
                </c:pt>
                <c:pt idx="9">
                  <c:v>T2/10</c:v>
                </c:pt>
                <c:pt idx="10">
                  <c:v>T3/10</c:v>
                </c:pt>
                <c:pt idx="11">
                  <c:v>T4/10</c:v>
                </c:pt>
                <c:pt idx="12">
                  <c:v>T1/11</c:v>
                </c:pt>
                <c:pt idx="13">
                  <c:v>T2/11</c:v>
                </c:pt>
                <c:pt idx="14">
                  <c:v>T3/11</c:v>
                </c:pt>
                <c:pt idx="15">
                  <c:v>T4/11</c:v>
                </c:pt>
                <c:pt idx="16">
                  <c:v>T1/12</c:v>
                </c:pt>
                <c:pt idx="17">
                  <c:v>T2/12</c:v>
                </c:pt>
                <c:pt idx="18">
                  <c:v>T3/12</c:v>
                </c:pt>
                <c:pt idx="19">
                  <c:v>T4/12</c:v>
                </c:pt>
                <c:pt idx="20">
                  <c:v>T1/13</c:v>
                </c:pt>
                <c:pt idx="21">
                  <c:v>T2/13</c:v>
                </c:pt>
                <c:pt idx="22">
                  <c:v>T3/13</c:v>
                </c:pt>
                <c:pt idx="23">
                  <c:v>T4/13</c:v>
                </c:pt>
                <c:pt idx="24">
                  <c:v>T1/14</c:v>
                </c:pt>
                <c:pt idx="25">
                  <c:v>T2/14</c:v>
                </c:pt>
                <c:pt idx="26">
                  <c:v>T3/14</c:v>
                </c:pt>
                <c:pt idx="27">
                  <c:v>T4/14</c:v>
                </c:pt>
                <c:pt idx="28">
                  <c:v>T1/15</c:v>
                </c:pt>
                <c:pt idx="29">
                  <c:v>T2/15</c:v>
                </c:pt>
                <c:pt idx="30">
                  <c:v>T3/15</c:v>
                </c:pt>
                <c:pt idx="31">
                  <c:v>T4/15</c:v>
                </c:pt>
                <c:pt idx="32">
                  <c:v>T1/16</c:v>
                </c:pt>
                <c:pt idx="33">
                  <c:v>T2/16</c:v>
                </c:pt>
                <c:pt idx="34">
                  <c:v>T3/16</c:v>
                </c:pt>
                <c:pt idx="35">
                  <c:v>T4/16</c:v>
                </c:pt>
                <c:pt idx="36">
                  <c:v>T1/17</c:v>
                </c:pt>
                <c:pt idx="37">
                  <c:v>T2/17</c:v>
                </c:pt>
                <c:pt idx="38">
                  <c:v>T3/17</c:v>
                </c:pt>
                <c:pt idx="39">
                  <c:v>T4/17</c:v>
                </c:pt>
                <c:pt idx="40">
                  <c:v>T1/18</c:v>
                </c:pt>
                <c:pt idx="41">
                  <c:v>T2/18</c:v>
                </c:pt>
                <c:pt idx="42">
                  <c:v>T3/18</c:v>
                </c:pt>
                <c:pt idx="43">
                  <c:v>T4/18</c:v>
                </c:pt>
                <c:pt idx="44">
                  <c:v>T1/19</c:v>
                </c:pt>
                <c:pt idx="45">
                  <c:v>T2/19</c:v>
                </c:pt>
                <c:pt idx="46">
                  <c:v>T3/19</c:v>
                </c:pt>
                <c:pt idx="47">
                  <c:v>T4/19</c:v>
                </c:pt>
                <c:pt idx="48">
                  <c:v>T1/20</c:v>
                </c:pt>
                <c:pt idx="49">
                  <c:v>T2/20</c:v>
                </c:pt>
                <c:pt idx="50">
                  <c:v>T3/20</c:v>
                </c:pt>
                <c:pt idx="51">
                  <c:v>T4/20</c:v>
                </c:pt>
                <c:pt idx="52">
                  <c:v>T1/21</c:v>
                </c:pt>
                <c:pt idx="53">
                  <c:v>T2/21</c:v>
                </c:pt>
                <c:pt idx="54">
                  <c:v>T3/21</c:v>
                </c:pt>
                <c:pt idx="55">
                  <c:v>T4/21</c:v>
                </c:pt>
                <c:pt idx="56">
                  <c:v>T1/22</c:v>
                </c:pt>
                <c:pt idx="57">
                  <c:v>T2/22</c:v>
                </c:pt>
                <c:pt idx="58">
                  <c:v>T3/22</c:v>
                </c:pt>
                <c:pt idx="59">
                  <c:v>T4/22</c:v>
                </c:pt>
              </c:strCache>
            </c:strRef>
          </c:cat>
          <c:val>
            <c:numRef>
              <c:f>'tableau note ar'!$B$3:$BI$3</c:f>
              <c:numCache>
                <c:formatCode>#,##0.0</c:formatCode>
                <c:ptCount val="60"/>
                <c:pt idx="0">
                  <c:v>-52.095692279179175</c:v>
                </c:pt>
                <c:pt idx="1">
                  <c:v>-56.601297669293338</c:v>
                </c:pt>
                <c:pt idx="2">
                  <c:v>-51.593765595534528</c:v>
                </c:pt>
                <c:pt idx="3">
                  <c:v>-51.137343653505525</c:v>
                </c:pt>
                <c:pt idx="4">
                  <c:v>-50.999102607130283</c:v>
                </c:pt>
                <c:pt idx="5">
                  <c:v>-59.135165785990033</c:v>
                </c:pt>
                <c:pt idx="6">
                  <c:v>-57.930600458568485</c:v>
                </c:pt>
                <c:pt idx="7">
                  <c:v>-57.517749523976526</c:v>
                </c:pt>
                <c:pt idx="8">
                  <c:v>-59.239397454073007</c:v>
                </c:pt>
                <c:pt idx="9">
                  <c:v>-61.048152851769579</c:v>
                </c:pt>
                <c:pt idx="10">
                  <c:v>-56.106436371502731</c:v>
                </c:pt>
                <c:pt idx="11">
                  <c:v>-52.335316844022444</c:v>
                </c:pt>
                <c:pt idx="12">
                  <c:v>-52.408437207990296</c:v>
                </c:pt>
                <c:pt idx="13">
                  <c:v>-45.98227848623349</c:v>
                </c:pt>
                <c:pt idx="14">
                  <c:v>-40.986479794930496</c:v>
                </c:pt>
                <c:pt idx="15">
                  <c:v>-41.619683700101234</c:v>
                </c:pt>
                <c:pt idx="16">
                  <c:v>-44.058495214148614</c:v>
                </c:pt>
                <c:pt idx="17">
                  <c:v>-48.557155794606146</c:v>
                </c:pt>
                <c:pt idx="18">
                  <c:v>-56.657119953107134</c:v>
                </c:pt>
                <c:pt idx="19">
                  <c:v>-58.054676707354794</c:v>
                </c:pt>
                <c:pt idx="20">
                  <c:v>-61.683132655398175</c:v>
                </c:pt>
                <c:pt idx="21">
                  <c:v>-67.848891093145681</c:v>
                </c:pt>
                <c:pt idx="22">
                  <c:v>-69.816287861188869</c:v>
                </c:pt>
                <c:pt idx="23">
                  <c:v>-68.20001271186625</c:v>
                </c:pt>
                <c:pt idx="24">
                  <c:v>-69.100751044168078</c:v>
                </c:pt>
                <c:pt idx="25">
                  <c:v>-66.49396988110918</c:v>
                </c:pt>
                <c:pt idx="26">
                  <c:v>-68.825577821249937</c:v>
                </c:pt>
                <c:pt idx="27">
                  <c:v>-68.019160185663324</c:v>
                </c:pt>
                <c:pt idx="28">
                  <c:v>-65.155740215393678</c:v>
                </c:pt>
                <c:pt idx="29">
                  <c:v>-67.056481822589717</c:v>
                </c:pt>
                <c:pt idx="30">
                  <c:v>-66.189276460398091</c:v>
                </c:pt>
                <c:pt idx="31">
                  <c:v>-64.100777949741769</c:v>
                </c:pt>
                <c:pt idx="32">
                  <c:v>-67.734442836360969</c:v>
                </c:pt>
                <c:pt idx="33">
                  <c:v>-68.976178952187723</c:v>
                </c:pt>
                <c:pt idx="34">
                  <c:v>-70.599999999999994</c:v>
                </c:pt>
                <c:pt idx="35">
                  <c:v>-66.808709762830389</c:v>
                </c:pt>
                <c:pt idx="36">
                  <c:v>-64.932045987858601</c:v>
                </c:pt>
                <c:pt idx="37">
                  <c:v>-54.327058153454743</c:v>
                </c:pt>
                <c:pt idx="38">
                  <c:v>-59.886763094223149</c:v>
                </c:pt>
                <c:pt idx="39">
                  <c:v>-58.5</c:v>
                </c:pt>
                <c:pt idx="40">
                  <c:v>-54.525998602090162</c:v>
                </c:pt>
                <c:pt idx="41" formatCode="General">
                  <c:v>-61.706282712863526</c:v>
                </c:pt>
                <c:pt idx="42" formatCode="0.0">
                  <c:v>-65.247643368132046</c:v>
                </c:pt>
                <c:pt idx="43" formatCode="0.0">
                  <c:v>-70</c:v>
                </c:pt>
                <c:pt idx="44" formatCode="0.0">
                  <c:v>-75.565732444458874</c:v>
                </c:pt>
                <c:pt idx="45" formatCode="0.0">
                  <c:v>-76.905120512383789</c:v>
                </c:pt>
                <c:pt idx="46" formatCode="0.0">
                  <c:v>-71.817697941940438</c:v>
                </c:pt>
                <c:pt idx="47" formatCode="0.0">
                  <c:v>-71.645886731132009</c:v>
                </c:pt>
                <c:pt idx="48" formatCode="0.0">
                  <c:v>-70.7934404370435</c:v>
                </c:pt>
                <c:pt idx="49" formatCode="0.0">
                  <c:v>-75.16855360593533</c:v>
                </c:pt>
                <c:pt idx="50" formatCode="0.0">
                  <c:v>-82.012609773267997</c:v>
                </c:pt>
                <c:pt idx="51" formatCode="0.0">
                  <c:v>-78.280561499164364</c:v>
                </c:pt>
                <c:pt idx="52" formatCode="0.0">
                  <c:v>-62.2</c:v>
                </c:pt>
                <c:pt idx="53" formatCode="0.0">
                  <c:v>-69.830611321827732</c:v>
                </c:pt>
                <c:pt idx="54" formatCode="0.0">
                  <c:v>-78.313406558982848</c:v>
                </c:pt>
                <c:pt idx="55" formatCode="###0.0">
                  <c:v>-77.577031249355031</c:v>
                </c:pt>
                <c:pt idx="56" formatCode="###0.0">
                  <c:v>-82.803590957343502</c:v>
                </c:pt>
                <c:pt idx="57" formatCode="###0.0">
                  <c:v>-81.13998967210614</c:v>
                </c:pt>
                <c:pt idx="58" formatCode="###0.0">
                  <c:v>-83.498658671309229</c:v>
                </c:pt>
                <c:pt idx="59" formatCode="###0.0">
                  <c:v>-79.636069225786045</c:v>
                </c:pt>
              </c:numCache>
            </c:numRef>
          </c:val>
        </c:ser>
        <c:marker val="1"/>
        <c:axId val="59209216"/>
        <c:axId val="59210752"/>
      </c:lineChart>
      <c:catAx>
        <c:axId val="59209216"/>
        <c:scaling>
          <c:orientation val="minMax"/>
        </c:scaling>
        <c:axPos val="b"/>
        <c:numFmt formatCode="General" sourceLinked="1"/>
        <c:majorTickMark val="none"/>
        <c:tickLblPos val="low"/>
        <c:txPr>
          <a:bodyPr/>
          <a:lstStyle/>
          <a:p>
            <a:pPr>
              <a:defRPr lang="en-US" sz="500"/>
            </a:pPr>
            <a:endParaRPr lang="fr-FR"/>
          </a:p>
        </c:txPr>
        <c:crossAx val="59210752"/>
        <c:crosses val="autoZero"/>
        <c:auto val="1"/>
        <c:lblAlgn val="ctr"/>
        <c:lblOffset val="100"/>
      </c:catAx>
      <c:valAx>
        <c:axId val="59210752"/>
        <c:scaling>
          <c:orientation val="minMax"/>
          <c:min val="-90"/>
        </c:scaling>
        <c:axPos val="l"/>
        <c:majorGridlines/>
        <c:numFmt formatCode="#,##0" sourceLinked="0"/>
        <c:majorTickMark val="none"/>
        <c:tickLblPos val="nextTo"/>
        <c:spPr>
          <a:ln w="9525">
            <a:noFill/>
          </a:ln>
        </c:spPr>
        <c:txPr>
          <a:bodyPr/>
          <a:lstStyle/>
          <a:p>
            <a:pPr>
              <a:defRPr lang="en-US" sz="600"/>
            </a:pPr>
            <a:endParaRPr lang="fr-FR"/>
          </a:p>
        </c:txPr>
        <c:crossAx val="59209216"/>
        <c:crosses val="autoZero"/>
        <c:crossBetween val="between"/>
      </c:valAx>
    </c:plotArea>
    <c:plotVisOnly val="1"/>
    <c:dispBlanksAs val="gap"/>
  </c:chart>
  <c:spPr>
    <a:ln w="3175">
      <a:solidFill>
        <a:schemeClr val="tx1"/>
      </a:solidFill>
    </a:ln>
  </c:spPr>
  <c:externalData r:id="rId1"/>
</c:chartSpace>
</file>

<file path=word/charts/chart4.xml><?xml version="1.0" encoding="utf-8"?>
<c:chartSpace xmlns:c="http://schemas.openxmlformats.org/drawingml/2006/chart" xmlns:a="http://schemas.openxmlformats.org/drawingml/2006/main" xmlns:r="http://schemas.openxmlformats.org/officeDocument/2006/relationships">
  <c:date1904 val="1"/>
  <c:lang val="fr-FR"/>
  <c:chart>
    <c:autoTitleDeleted val="1"/>
    <c:plotArea>
      <c:layout/>
      <c:lineChart>
        <c:grouping val="standard"/>
        <c:ser>
          <c:idx val="0"/>
          <c:order val="0"/>
          <c:tx>
            <c:strRef>
              <c:f>'tableau note ar'!$A$6</c:f>
              <c:strCache>
                <c:ptCount val="1"/>
                <c:pt idx="0">
                  <c:v>فرص اقتناء السلع المستديمة</c:v>
                </c:pt>
              </c:strCache>
            </c:strRef>
          </c:tx>
          <c:marker>
            <c:symbol val="none"/>
          </c:marker>
          <c:cat>
            <c:strRef>
              <c:f>'tableau note ar'!$B$1:$BI$1</c:f>
              <c:strCache>
                <c:ptCount val="60"/>
                <c:pt idx="0">
                  <c:v>T1/08</c:v>
                </c:pt>
                <c:pt idx="1">
                  <c:v>T2/08</c:v>
                </c:pt>
                <c:pt idx="2">
                  <c:v>T3/08</c:v>
                </c:pt>
                <c:pt idx="3">
                  <c:v>T4/08</c:v>
                </c:pt>
                <c:pt idx="4">
                  <c:v>T1/09</c:v>
                </c:pt>
                <c:pt idx="5">
                  <c:v>T2/09</c:v>
                </c:pt>
                <c:pt idx="6">
                  <c:v>T3/09</c:v>
                </c:pt>
                <c:pt idx="7">
                  <c:v>T4/09</c:v>
                </c:pt>
                <c:pt idx="8">
                  <c:v>T1/10</c:v>
                </c:pt>
                <c:pt idx="9">
                  <c:v>T2/10</c:v>
                </c:pt>
                <c:pt idx="10">
                  <c:v>T3/10</c:v>
                </c:pt>
                <c:pt idx="11">
                  <c:v>T4/10</c:v>
                </c:pt>
                <c:pt idx="12">
                  <c:v>T1/11</c:v>
                </c:pt>
                <c:pt idx="13">
                  <c:v>T2/11</c:v>
                </c:pt>
                <c:pt idx="14">
                  <c:v>T3/11</c:v>
                </c:pt>
                <c:pt idx="15">
                  <c:v>T4/11</c:v>
                </c:pt>
                <c:pt idx="16">
                  <c:v>T1/12</c:v>
                </c:pt>
                <c:pt idx="17">
                  <c:v>T2/12</c:v>
                </c:pt>
                <c:pt idx="18">
                  <c:v>T3/12</c:v>
                </c:pt>
                <c:pt idx="19">
                  <c:v>T4/12</c:v>
                </c:pt>
                <c:pt idx="20">
                  <c:v>T1/13</c:v>
                </c:pt>
                <c:pt idx="21">
                  <c:v>T2/13</c:v>
                </c:pt>
                <c:pt idx="22">
                  <c:v>T3/13</c:v>
                </c:pt>
                <c:pt idx="23">
                  <c:v>T4/13</c:v>
                </c:pt>
                <c:pt idx="24">
                  <c:v>T1/14</c:v>
                </c:pt>
                <c:pt idx="25">
                  <c:v>T2/14</c:v>
                </c:pt>
                <c:pt idx="26">
                  <c:v>T3/14</c:v>
                </c:pt>
                <c:pt idx="27">
                  <c:v>T4/14</c:v>
                </c:pt>
                <c:pt idx="28">
                  <c:v>T1/15</c:v>
                </c:pt>
                <c:pt idx="29">
                  <c:v>T2/15</c:v>
                </c:pt>
                <c:pt idx="30">
                  <c:v>T3/15</c:v>
                </c:pt>
                <c:pt idx="31">
                  <c:v>T4/15</c:v>
                </c:pt>
                <c:pt idx="32">
                  <c:v>T1/16</c:v>
                </c:pt>
                <c:pt idx="33">
                  <c:v>T2/16</c:v>
                </c:pt>
                <c:pt idx="34">
                  <c:v>T3/16</c:v>
                </c:pt>
                <c:pt idx="35">
                  <c:v>T4/16</c:v>
                </c:pt>
                <c:pt idx="36">
                  <c:v>T1/17</c:v>
                </c:pt>
                <c:pt idx="37">
                  <c:v>T2/17</c:v>
                </c:pt>
                <c:pt idx="38">
                  <c:v>T3/17</c:v>
                </c:pt>
                <c:pt idx="39">
                  <c:v>T4/17</c:v>
                </c:pt>
                <c:pt idx="40">
                  <c:v>T1/18</c:v>
                </c:pt>
                <c:pt idx="41">
                  <c:v>T2/18</c:v>
                </c:pt>
                <c:pt idx="42">
                  <c:v>T3/18</c:v>
                </c:pt>
                <c:pt idx="43">
                  <c:v>T4/18</c:v>
                </c:pt>
                <c:pt idx="44">
                  <c:v>T1/19</c:v>
                </c:pt>
                <c:pt idx="45">
                  <c:v>T2/19</c:v>
                </c:pt>
                <c:pt idx="46">
                  <c:v>T3/19</c:v>
                </c:pt>
                <c:pt idx="47">
                  <c:v>T4/19</c:v>
                </c:pt>
                <c:pt idx="48">
                  <c:v>T1/20</c:v>
                </c:pt>
                <c:pt idx="49">
                  <c:v>T2/20</c:v>
                </c:pt>
                <c:pt idx="50">
                  <c:v>T3/20</c:v>
                </c:pt>
                <c:pt idx="51">
                  <c:v>T4/20</c:v>
                </c:pt>
                <c:pt idx="52">
                  <c:v>T1/21</c:v>
                </c:pt>
                <c:pt idx="53">
                  <c:v>T2/21</c:v>
                </c:pt>
                <c:pt idx="54">
                  <c:v>T3/21</c:v>
                </c:pt>
                <c:pt idx="55">
                  <c:v>T4/21</c:v>
                </c:pt>
                <c:pt idx="56">
                  <c:v>T1/22</c:v>
                </c:pt>
                <c:pt idx="57">
                  <c:v>T2/22</c:v>
                </c:pt>
                <c:pt idx="58">
                  <c:v>T3/22</c:v>
                </c:pt>
                <c:pt idx="59">
                  <c:v>T4/22</c:v>
                </c:pt>
              </c:strCache>
            </c:strRef>
          </c:cat>
          <c:val>
            <c:numRef>
              <c:f>'tableau note ar'!$B$6:$BI$6</c:f>
              <c:numCache>
                <c:formatCode>#,##0.0</c:formatCode>
                <c:ptCount val="60"/>
                <c:pt idx="0">
                  <c:v>-30.018449770831804</c:v>
                </c:pt>
                <c:pt idx="1">
                  <c:v>-34.254528080670752</c:v>
                </c:pt>
                <c:pt idx="2">
                  <c:v>-37.471777984571169</c:v>
                </c:pt>
                <c:pt idx="3">
                  <c:v>-39.103064640682895</c:v>
                </c:pt>
                <c:pt idx="4">
                  <c:v>-41.765350509033922</c:v>
                </c:pt>
                <c:pt idx="5">
                  <c:v>-46.542730671354157</c:v>
                </c:pt>
                <c:pt idx="6">
                  <c:v>-43.408027388108131</c:v>
                </c:pt>
                <c:pt idx="7">
                  <c:v>-42.642623532569331</c:v>
                </c:pt>
                <c:pt idx="8">
                  <c:v>-34.756506471721579</c:v>
                </c:pt>
                <c:pt idx="9">
                  <c:v>-37.532519098271834</c:v>
                </c:pt>
                <c:pt idx="10">
                  <c:v>-36.012077907569903</c:v>
                </c:pt>
                <c:pt idx="11">
                  <c:v>-44.335673139521013</c:v>
                </c:pt>
                <c:pt idx="12">
                  <c:v>-39.860076277616741</c:v>
                </c:pt>
                <c:pt idx="13">
                  <c:v>-39.017818744674372</c:v>
                </c:pt>
                <c:pt idx="14">
                  <c:v>-36.350911088685244</c:v>
                </c:pt>
                <c:pt idx="15">
                  <c:v>-38.491211120248494</c:v>
                </c:pt>
                <c:pt idx="16">
                  <c:v>-32.485234146306901</c:v>
                </c:pt>
                <c:pt idx="17">
                  <c:v>-37.388587169100504</c:v>
                </c:pt>
                <c:pt idx="18">
                  <c:v>-29.521996232881474</c:v>
                </c:pt>
                <c:pt idx="19">
                  <c:v>-29.332441443088875</c:v>
                </c:pt>
                <c:pt idx="20">
                  <c:v>-28.348240299081706</c:v>
                </c:pt>
                <c:pt idx="21">
                  <c:v>-31.722199742496027</c:v>
                </c:pt>
                <c:pt idx="22">
                  <c:v>-29.53704552622213</c:v>
                </c:pt>
                <c:pt idx="23">
                  <c:v>-31.849081241594892</c:v>
                </c:pt>
                <c:pt idx="24">
                  <c:v>-31.319060011477994</c:v>
                </c:pt>
                <c:pt idx="25">
                  <c:v>-28.892463445062127</c:v>
                </c:pt>
                <c:pt idx="26">
                  <c:v>-33.067265037911191</c:v>
                </c:pt>
                <c:pt idx="27">
                  <c:v>-38.061946980941102</c:v>
                </c:pt>
                <c:pt idx="28">
                  <c:v>-36.986420638663795</c:v>
                </c:pt>
                <c:pt idx="29">
                  <c:v>-35.967938268219903</c:v>
                </c:pt>
                <c:pt idx="30">
                  <c:v>-34.247070009141204</c:v>
                </c:pt>
                <c:pt idx="31">
                  <c:v>-37.509325471422464</c:v>
                </c:pt>
                <c:pt idx="32">
                  <c:v>-40.239810197161113</c:v>
                </c:pt>
                <c:pt idx="33">
                  <c:v>-34.794169125290885</c:v>
                </c:pt>
                <c:pt idx="34">
                  <c:v>-40.511458517814845</c:v>
                </c:pt>
                <c:pt idx="35">
                  <c:v>-43.033835365277199</c:v>
                </c:pt>
                <c:pt idx="36">
                  <c:v>-39.999291784066436</c:v>
                </c:pt>
                <c:pt idx="37">
                  <c:v>-28.160977836062902</c:v>
                </c:pt>
                <c:pt idx="38">
                  <c:v>-31.475843594428095</c:v>
                </c:pt>
                <c:pt idx="39">
                  <c:v>-25.6</c:v>
                </c:pt>
                <c:pt idx="40">
                  <c:v>-27.189644342164549</c:v>
                </c:pt>
                <c:pt idx="41" formatCode="General">
                  <c:v>-25.753095123938731</c:v>
                </c:pt>
                <c:pt idx="42" formatCode="0.0">
                  <c:v>-30.193271317535196</c:v>
                </c:pt>
                <c:pt idx="43" formatCode="0.0">
                  <c:v>-36.800000000000004</c:v>
                </c:pt>
                <c:pt idx="44" formatCode="0.0">
                  <c:v>-36.294477943510053</c:v>
                </c:pt>
                <c:pt idx="45" formatCode="0.0">
                  <c:v>-41.423646990592751</c:v>
                </c:pt>
                <c:pt idx="46" formatCode="0.0">
                  <c:v>-37.730567473068398</c:v>
                </c:pt>
                <c:pt idx="47" formatCode="0.0">
                  <c:v>-29.21833531467249</c:v>
                </c:pt>
                <c:pt idx="48" formatCode="0.0">
                  <c:v>-32.611752500665851</c:v>
                </c:pt>
                <c:pt idx="49" formatCode="0.0">
                  <c:v>-67.951617125134092</c:v>
                </c:pt>
                <c:pt idx="50" formatCode="0.0">
                  <c:v>-63.469757370471925</c:v>
                </c:pt>
                <c:pt idx="51" formatCode="0.0">
                  <c:v>-61.233843482530801</c:v>
                </c:pt>
                <c:pt idx="52" formatCode="0.0">
                  <c:v>-61.6</c:v>
                </c:pt>
                <c:pt idx="53" formatCode="0.0">
                  <c:v>-65.565215742281509</c:v>
                </c:pt>
                <c:pt idx="54" formatCode="0.0">
                  <c:v>-61.974386136345984</c:v>
                </c:pt>
                <c:pt idx="55" formatCode="###0.0">
                  <c:v>-62.794548879325561</c:v>
                </c:pt>
                <c:pt idx="56" formatCode="###0.0">
                  <c:v>-66.694844970978195</c:v>
                </c:pt>
                <c:pt idx="57" formatCode="###0.0">
                  <c:v>-69.145089033375214</c:v>
                </c:pt>
                <c:pt idx="58" formatCode="###0.0">
                  <c:v>-74.005196986116957</c:v>
                </c:pt>
                <c:pt idx="59" formatCode="###0.0">
                  <c:v>-70.308042764648889</c:v>
                </c:pt>
              </c:numCache>
            </c:numRef>
          </c:val>
        </c:ser>
        <c:marker val="1"/>
        <c:axId val="59230080"/>
        <c:axId val="59231616"/>
      </c:lineChart>
      <c:catAx>
        <c:axId val="59230080"/>
        <c:scaling>
          <c:orientation val="minMax"/>
        </c:scaling>
        <c:axPos val="b"/>
        <c:numFmt formatCode="General" sourceLinked="0"/>
        <c:majorTickMark val="none"/>
        <c:tickLblPos val="low"/>
        <c:txPr>
          <a:bodyPr/>
          <a:lstStyle/>
          <a:p>
            <a:pPr>
              <a:defRPr lang="en-US" sz="500"/>
            </a:pPr>
            <a:endParaRPr lang="fr-FR"/>
          </a:p>
        </c:txPr>
        <c:crossAx val="59231616"/>
        <c:crosses val="autoZero"/>
        <c:auto val="1"/>
        <c:lblAlgn val="ctr"/>
        <c:lblOffset val="100"/>
      </c:catAx>
      <c:valAx>
        <c:axId val="59231616"/>
        <c:scaling>
          <c:orientation val="minMax"/>
        </c:scaling>
        <c:axPos val="l"/>
        <c:majorGridlines/>
        <c:numFmt formatCode="#,##0" sourceLinked="0"/>
        <c:tickLblPos val="nextTo"/>
        <c:txPr>
          <a:bodyPr/>
          <a:lstStyle/>
          <a:p>
            <a:pPr>
              <a:defRPr lang="en-US" sz="700"/>
            </a:pPr>
            <a:endParaRPr lang="fr-FR"/>
          </a:p>
        </c:txPr>
        <c:crossAx val="59230080"/>
        <c:crosses val="autoZero"/>
        <c:crossBetween val="between"/>
      </c:valAx>
    </c:plotArea>
    <c:plotVisOnly val="1"/>
    <c:dispBlanksAs val="gap"/>
  </c:chart>
  <c:spPr>
    <a:ln w="3175">
      <a:solidFill>
        <a:schemeClr val="tx1"/>
      </a:solidFill>
    </a:ln>
  </c:spPr>
  <c:externalData r:id="rId1"/>
</c:chartSpace>
</file>

<file path=word/charts/chart5.xml><?xml version="1.0" encoding="utf-8"?>
<c:chartSpace xmlns:c="http://schemas.openxmlformats.org/drawingml/2006/chart" xmlns:a="http://schemas.openxmlformats.org/drawingml/2006/main" xmlns:r="http://schemas.openxmlformats.org/officeDocument/2006/relationships">
  <c:date1904 val="1"/>
  <c:lang val="fr-FR"/>
  <c:chart>
    <c:autoTitleDeleted val="1"/>
    <c:plotArea>
      <c:layout/>
      <c:lineChart>
        <c:grouping val="standard"/>
        <c:ser>
          <c:idx val="0"/>
          <c:order val="0"/>
          <c:tx>
            <c:strRef>
              <c:f>'tableau note ar'!$A$7</c:f>
              <c:strCache>
                <c:ptCount val="1"/>
                <c:pt idx="0">
                  <c:v>الوضعية المالية الحالية للأسرة</c:v>
                </c:pt>
              </c:strCache>
            </c:strRef>
          </c:tx>
          <c:marker>
            <c:symbol val="square"/>
            <c:size val="5"/>
          </c:marker>
          <c:cat>
            <c:strRef>
              <c:f>'tableau note ar'!$B$1:$BI$1</c:f>
              <c:strCache>
                <c:ptCount val="60"/>
                <c:pt idx="0">
                  <c:v>T1/08</c:v>
                </c:pt>
                <c:pt idx="1">
                  <c:v>T2/08</c:v>
                </c:pt>
                <c:pt idx="2">
                  <c:v>T3/08</c:v>
                </c:pt>
                <c:pt idx="3">
                  <c:v>T4/08</c:v>
                </c:pt>
                <c:pt idx="4">
                  <c:v>T1/09</c:v>
                </c:pt>
                <c:pt idx="5">
                  <c:v>T2/09</c:v>
                </c:pt>
                <c:pt idx="6">
                  <c:v>T3/09</c:v>
                </c:pt>
                <c:pt idx="7">
                  <c:v>T4/09</c:v>
                </c:pt>
                <c:pt idx="8">
                  <c:v>T1/10</c:v>
                </c:pt>
                <c:pt idx="9">
                  <c:v>T2/10</c:v>
                </c:pt>
                <c:pt idx="10">
                  <c:v>T3/10</c:v>
                </c:pt>
                <c:pt idx="11">
                  <c:v>T4/10</c:v>
                </c:pt>
                <c:pt idx="12">
                  <c:v>T1/11</c:v>
                </c:pt>
                <c:pt idx="13">
                  <c:v>T2/11</c:v>
                </c:pt>
                <c:pt idx="14">
                  <c:v>T3/11</c:v>
                </c:pt>
                <c:pt idx="15">
                  <c:v>T4/11</c:v>
                </c:pt>
                <c:pt idx="16">
                  <c:v>T1/12</c:v>
                </c:pt>
                <c:pt idx="17">
                  <c:v>T2/12</c:v>
                </c:pt>
                <c:pt idx="18">
                  <c:v>T3/12</c:v>
                </c:pt>
                <c:pt idx="19">
                  <c:v>T4/12</c:v>
                </c:pt>
                <c:pt idx="20">
                  <c:v>T1/13</c:v>
                </c:pt>
                <c:pt idx="21">
                  <c:v>T2/13</c:v>
                </c:pt>
                <c:pt idx="22">
                  <c:v>T3/13</c:v>
                </c:pt>
                <c:pt idx="23">
                  <c:v>T4/13</c:v>
                </c:pt>
                <c:pt idx="24">
                  <c:v>T1/14</c:v>
                </c:pt>
                <c:pt idx="25">
                  <c:v>T2/14</c:v>
                </c:pt>
                <c:pt idx="26">
                  <c:v>T3/14</c:v>
                </c:pt>
                <c:pt idx="27">
                  <c:v>T4/14</c:v>
                </c:pt>
                <c:pt idx="28">
                  <c:v>T1/15</c:v>
                </c:pt>
                <c:pt idx="29">
                  <c:v>T2/15</c:v>
                </c:pt>
                <c:pt idx="30">
                  <c:v>T3/15</c:v>
                </c:pt>
                <c:pt idx="31">
                  <c:v>T4/15</c:v>
                </c:pt>
                <c:pt idx="32">
                  <c:v>T1/16</c:v>
                </c:pt>
                <c:pt idx="33">
                  <c:v>T2/16</c:v>
                </c:pt>
                <c:pt idx="34">
                  <c:v>T3/16</c:v>
                </c:pt>
                <c:pt idx="35">
                  <c:v>T4/16</c:v>
                </c:pt>
                <c:pt idx="36">
                  <c:v>T1/17</c:v>
                </c:pt>
                <c:pt idx="37">
                  <c:v>T2/17</c:v>
                </c:pt>
                <c:pt idx="38">
                  <c:v>T3/17</c:v>
                </c:pt>
                <c:pt idx="39">
                  <c:v>T4/17</c:v>
                </c:pt>
                <c:pt idx="40">
                  <c:v>T1/18</c:v>
                </c:pt>
                <c:pt idx="41">
                  <c:v>T2/18</c:v>
                </c:pt>
                <c:pt idx="42">
                  <c:v>T3/18</c:v>
                </c:pt>
                <c:pt idx="43">
                  <c:v>T4/18</c:v>
                </c:pt>
                <c:pt idx="44">
                  <c:v>T1/19</c:v>
                </c:pt>
                <c:pt idx="45">
                  <c:v>T2/19</c:v>
                </c:pt>
                <c:pt idx="46">
                  <c:v>T3/19</c:v>
                </c:pt>
                <c:pt idx="47">
                  <c:v>T4/19</c:v>
                </c:pt>
                <c:pt idx="48">
                  <c:v>T1/20</c:v>
                </c:pt>
                <c:pt idx="49">
                  <c:v>T2/20</c:v>
                </c:pt>
                <c:pt idx="50">
                  <c:v>T3/20</c:v>
                </c:pt>
                <c:pt idx="51">
                  <c:v>T4/20</c:v>
                </c:pt>
                <c:pt idx="52">
                  <c:v>T1/21</c:v>
                </c:pt>
                <c:pt idx="53">
                  <c:v>T2/21</c:v>
                </c:pt>
                <c:pt idx="54">
                  <c:v>T3/21</c:v>
                </c:pt>
                <c:pt idx="55">
                  <c:v>T4/21</c:v>
                </c:pt>
                <c:pt idx="56">
                  <c:v>T1/22</c:v>
                </c:pt>
                <c:pt idx="57">
                  <c:v>T2/22</c:v>
                </c:pt>
                <c:pt idx="58">
                  <c:v>T3/22</c:v>
                </c:pt>
                <c:pt idx="59">
                  <c:v>T4/22</c:v>
                </c:pt>
              </c:strCache>
            </c:strRef>
          </c:cat>
          <c:val>
            <c:numRef>
              <c:f>'tableau note ar'!$B$7:$BI$7</c:f>
              <c:numCache>
                <c:formatCode>#,##0.0</c:formatCode>
                <c:ptCount val="60"/>
                <c:pt idx="0">
                  <c:v>-33.000396349797541</c:v>
                </c:pt>
                <c:pt idx="1">
                  <c:v>-32.92085732825101</c:v>
                </c:pt>
                <c:pt idx="2">
                  <c:v>-34.418326375664194</c:v>
                </c:pt>
                <c:pt idx="3">
                  <c:v>-33.119220631579381</c:v>
                </c:pt>
                <c:pt idx="4">
                  <c:v>-31.284887127595891</c:v>
                </c:pt>
                <c:pt idx="5">
                  <c:v>-26.871936633729426</c:v>
                </c:pt>
                <c:pt idx="6">
                  <c:v>-28.286909450889887</c:v>
                </c:pt>
                <c:pt idx="7">
                  <c:v>-25.297554133135563</c:v>
                </c:pt>
                <c:pt idx="8">
                  <c:v>-27.535808431365773</c:v>
                </c:pt>
                <c:pt idx="9">
                  <c:v>-27.628417792744592</c:v>
                </c:pt>
                <c:pt idx="10">
                  <c:v>-29.997502753451052</c:v>
                </c:pt>
                <c:pt idx="11">
                  <c:v>-28.06262489249632</c:v>
                </c:pt>
                <c:pt idx="12">
                  <c:v>-30.645498931903749</c:v>
                </c:pt>
                <c:pt idx="13">
                  <c:v>-27.092549889444342</c:v>
                </c:pt>
                <c:pt idx="14">
                  <c:v>-24.28899054728441</c:v>
                </c:pt>
                <c:pt idx="15">
                  <c:v>-25.669712181349748</c:v>
                </c:pt>
                <c:pt idx="16">
                  <c:v>-25.435462945688826</c:v>
                </c:pt>
                <c:pt idx="17">
                  <c:v>-31.040689498948886</c:v>
                </c:pt>
                <c:pt idx="18">
                  <c:v>-30.846093343724206</c:v>
                </c:pt>
                <c:pt idx="19">
                  <c:v>-29.426966691861274</c:v>
                </c:pt>
                <c:pt idx="20">
                  <c:v>-29.764200665198015</c:v>
                </c:pt>
                <c:pt idx="21">
                  <c:v>-30.168616451396016</c:v>
                </c:pt>
                <c:pt idx="22">
                  <c:v>-29.48413128265123</c:v>
                </c:pt>
                <c:pt idx="23">
                  <c:v>-29.485585569479966</c:v>
                </c:pt>
                <c:pt idx="24">
                  <c:v>-31.290770339915053</c:v>
                </c:pt>
                <c:pt idx="25">
                  <c:v>-29.704256665370011</c:v>
                </c:pt>
                <c:pt idx="26">
                  <c:v>-28.344504427944035</c:v>
                </c:pt>
                <c:pt idx="27">
                  <c:v>-30.637429411694043</c:v>
                </c:pt>
                <c:pt idx="28">
                  <c:v>-32.404955656558201</c:v>
                </c:pt>
                <c:pt idx="29">
                  <c:v>-28</c:v>
                </c:pt>
                <c:pt idx="30">
                  <c:v>-25.071467645625653</c:v>
                </c:pt>
                <c:pt idx="31">
                  <c:v>-25.699936983325877</c:v>
                </c:pt>
                <c:pt idx="32">
                  <c:v>-27.232686212381424</c:v>
                </c:pt>
                <c:pt idx="33">
                  <c:v>-22.997618165471859</c:v>
                </c:pt>
                <c:pt idx="34">
                  <c:v>-25.8</c:v>
                </c:pt>
                <c:pt idx="35">
                  <c:v>-28.725836843764064</c:v>
                </c:pt>
                <c:pt idx="36">
                  <c:v>-27.797585066069505</c:v>
                </c:pt>
                <c:pt idx="37">
                  <c:v>-25.340990239285759</c:v>
                </c:pt>
                <c:pt idx="38">
                  <c:v>-22.581783906285729</c:v>
                </c:pt>
                <c:pt idx="39">
                  <c:v>-24.392000147868323</c:v>
                </c:pt>
                <c:pt idx="40">
                  <c:v>-25.236685531801346</c:v>
                </c:pt>
                <c:pt idx="41" formatCode="General">
                  <c:v>-24.077817715725971</c:v>
                </c:pt>
                <c:pt idx="42" formatCode="0.0">
                  <c:v>-29.675061855859198</c:v>
                </c:pt>
                <c:pt idx="43" formatCode="0.0">
                  <c:v>-28.4</c:v>
                </c:pt>
                <c:pt idx="44" formatCode="0.0">
                  <c:v>-28.874306637901356</c:v>
                </c:pt>
                <c:pt idx="45" formatCode="0.0">
                  <c:v>-30.794330285810986</c:v>
                </c:pt>
                <c:pt idx="46" formatCode="0.0">
                  <c:v>-29.543474949783889</c:v>
                </c:pt>
                <c:pt idx="47" formatCode="0.0">
                  <c:v>-26.38685501138583</c:v>
                </c:pt>
                <c:pt idx="48" formatCode="0.0">
                  <c:v>-27.71199590975063</c:v>
                </c:pt>
                <c:pt idx="49" formatCode="0.0">
                  <c:v>-29.95522089472167</c:v>
                </c:pt>
                <c:pt idx="50" formatCode="0.0">
                  <c:v>-31.504825451700448</c:v>
                </c:pt>
                <c:pt idx="51" formatCode="0.0">
                  <c:v>-29.083585505842859</c:v>
                </c:pt>
                <c:pt idx="52" formatCode="0.0">
                  <c:v>-34.4</c:v>
                </c:pt>
                <c:pt idx="53" formatCode="0.0">
                  <c:v>-38.035486047325477</c:v>
                </c:pt>
                <c:pt idx="54" formatCode="0.0">
                  <c:v>-36.428256542769461</c:v>
                </c:pt>
                <c:pt idx="55" formatCode="###0.0">
                  <c:v>-40.395301048613071</c:v>
                </c:pt>
                <c:pt idx="56" formatCode="###0.0">
                  <c:v>-43.360121736390973</c:v>
                </c:pt>
                <c:pt idx="57" formatCode="###0.0">
                  <c:v>-42.859520384168782</c:v>
                </c:pt>
                <c:pt idx="58" formatCode="###0.0">
                  <c:v>-40.852070365263764</c:v>
                </c:pt>
                <c:pt idx="59" formatCode="###0.0">
                  <c:v>-42.073262915232313</c:v>
                </c:pt>
              </c:numCache>
            </c:numRef>
          </c:val>
        </c:ser>
        <c:ser>
          <c:idx val="1"/>
          <c:order val="1"/>
          <c:tx>
            <c:strRef>
              <c:f>'tableau note ar'!$A$8</c:f>
              <c:strCache>
                <c:ptCount val="1"/>
                <c:pt idx="0">
                  <c:v>التطور السابق للوضعية المالية للأسرة</c:v>
                </c:pt>
              </c:strCache>
            </c:strRef>
          </c:tx>
          <c:cat>
            <c:strRef>
              <c:f>'tableau note ar'!$B$1:$BI$1</c:f>
              <c:strCache>
                <c:ptCount val="60"/>
                <c:pt idx="0">
                  <c:v>T1/08</c:v>
                </c:pt>
                <c:pt idx="1">
                  <c:v>T2/08</c:v>
                </c:pt>
                <c:pt idx="2">
                  <c:v>T3/08</c:v>
                </c:pt>
                <c:pt idx="3">
                  <c:v>T4/08</c:v>
                </c:pt>
                <c:pt idx="4">
                  <c:v>T1/09</c:v>
                </c:pt>
                <c:pt idx="5">
                  <c:v>T2/09</c:v>
                </c:pt>
                <c:pt idx="6">
                  <c:v>T3/09</c:v>
                </c:pt>
                <c:pt idx="7">
                  <c:v>T4/09</c:v>
                </c:pt>
                <c:pt idx="8">
                  <c:v>T1/10</c:v>
                </c:pt>
                <c:pt idx="9">
                  <c:v>T2/10</c:v>
                </c:pt>
                <c:pt idx="10">
                  <c:v>T3/10</c:v>
                </c:pt>
                <c:pt idx="11">
                  <c:v>T4/10</c:v>
                </c:pt>
                <c:pt idx="12">
                  <c:v>T1/11</c:v>
                </c:pt>
                <c:pt idx="13">
                  <c:v>T2/11</c:v>
                </c:pt>
                <c:pt idx="14">
                  <c:v>T3/11</c:v>
                </c:pt>
                <c:pt idx="15">
                  <c:v>T4/11</c:v>
                </c:pt>
                <c:pt idx="16">
                  <c:v>T1/12</c:v>
                </c:pt>
                <c:pt idx="17">
                  <c:v>T2/12</c:v>
                </c:pt>
                <c:pt idx="18">
                  <c:v>T3/12</c:v>
                </c:pt>
                <c:pt idx="19">
                  <c:v>T4/12</c:v>
                </c:pt>
                <c:pt idx="20">
                  <c:v>T1/13</c:v>
                </c:pt>
                <c:pt idx="21">
                  <c:v>T2/13</c:v>
                </c:pt>
                <c:pt idx="22">
                  <c:v>T3/13</c:v>
                </c:pt>
                <c:pt idx="23">
                  <c:v>T4/13</c:v>
                </c:pt>
                <c:pt idx="24">
                  <c:v>T1/14</c:v>
                </c:pt>
                <c:pt idx="25">
                  <c:v>T2/14</c:v>
                </c:pt>
                <c:pt idx="26">
                  <c:v>T3/14</c:v>
                </c:pt>
                <c:pt idx="27">
                  <c:v>T4/14</c:v>
                </c:pt>
                <c:pt idx="28">
                  <c:v>T1/15</c:v>
                </c:pt>
                <c:pt idx="29">
                  <c:v>T2/15</c:v>
                </c:pt>
                <c:pt idx="30">
                  <c:v>T3/15</c:v>
                </c:pt>
                <c:pt idx="31">
                  <c:v>T4/15</c:v>
                </c:pt>
                <c:pt idx="32">
                  <c:v>T1/16</c:v>
                </c:pt>
                <c:pt idx="33">
                  <c:v>T2/16</c:v>
                </c:pt>
                <c:pt idx="34">
                  <c:v>T3/16</c:v>
                </c:pt>
                <c:pt idx="35">
                  <c:v>T4/16</c:v>
                </c:pt>
                <c:pt idx="36">
                  <c:v>T1/17</c:v>
                </c:pt>
                <c:pt idx="37">
                  <c:v>T2/17</c:v>
                </c:pt>
                <c:pt idx="38">
                  <c:v>T3/17</c:v>
                </c:pt>
                <c:pt idx="39">
                  <c:v>T4/17</c:v>
                </c:pt>
                <c:pt idx="40">
                  <c:v>T1/18</c:v>
                </c:pt>
                <c:pt idx="41">
                  <c:v>T2/18</c:v>
                </c:pt>
                <c:pt idx="42">
                  <c:v>T3/18</c:v>
                </c:pt>
                <c:pt idx="43">
                  <c:v>T4/18</c:v>
                </c:pt>
                <c:pt idx="44">
                  <c:v>T1/19</c:v>
                </c:pt>
                <c:pt idx="45">
                  <c:v>T2/19</c:v>
                </c:pt>
                <c:pt idx="46">
                  <c:v>T3/19</c:v>
                </c:pt>
                <c:pt idx="47">
                  <c:v>T4/19</c:v>
                </c:pt>
                <c:pt idx="48">
                  <c:v>T1/20</c:v>
                </c:pt>
                <c:pt idx="49">
                  <c:v>T2/20</c:v>
                </c:pt>
                <c:pt idx="50">
                  <c:v>T3/20</c:v>
                </c:pt>
                <c:pt idx="51">
                  <c:v>T4/20</c:v>
                </c:pt>
                <c:pt idx="52">
                  <c:v>T1/21</c:v>
                </c:pt>
                <c:pt idx="53">
                  <c:v>T2/21</c:v>
                </c:pt>
                <c:pt idx="54">
                  <c:v>T3/21</c:v>
                </c:pt>
                <c:pt idx="55">
                  <c:v>T4/21</c:v>
                </c:pt>
                <c:pt idx="56">
                  <c:v>T1/22</c:v>
                </c:pt>
                <c:pt idx="57">
                  <c:v>T2/22</c:v>
                </c:pt>
                <c:pt idx="58">
                  <c:v>T3/22</c:v>
                </c:pt>
                <c:pt idx="59">
                  <c:v>T4/22</c:v>
                </c:pt>
              </c:strCache>
            </c:strRef>
          </c:cat>
          <c:val>
            <c:numRef>
              <c:f>'tableau note ar'!$B$8:$BI$8</c:f>
              <c:numCache>
                <c:formatCode>#,##0.0</c:formatCode>
                <c:ptCount val="60"/>
                <c:pt idx="0">
                  <c:v>-11.760493904860514</c:v>
                </c:pt>
                <c:pt idx="1">
                  <c:v>-11.376439540974172</c:v>
                </c:pt>
                <c:pt idx="2">
                  <c:v>-11.707546774199248</c:v>
                </c:pt>
                <c:pt idx="3">
                  <c:v>-9.5250570435126427</c:v>
                </c:pt>
                <c:pt idx="4">
                  <c:v>-18.438210074457366</c:v>
                </c:pt>
                <c:pt idx="5">
                  <c:v>-13.353492384896759</c:v>
                </c:pt>
                <c:pt idx="6">
                  <c:v>-8.3398771422969418</c:v>
                </c:pt>
                <c:pt idx="7">
                  <c:v>-11.02764060888175</c:v>
                </c:pt>
                <c:pt idx="8">
                  <c:v>-9.9712946623485852</c:v>
                </c:pt>
                <c:pt idx="9">
                  <c:v>-7.900036816111526</c:v>
                </c:pt>
                <c:pt idx="10">
                  <c:v>-7.5448517126855705</c:v>
                </c:pt>
                <c:pt idx="11">
                  <c:v>-12.80990794833837</c:v>
                </c:pt>
                <c:pt idx="12">
                  <c:v>-10.526395373972909</c:v>
                </c:pt>
                <c:pt idx="13">
                  <c:v>-8.9058745431594577</c:v>
                </c:pt>
                <c:pt idx="14">
                  <c:v>-6.3663328535796895</c:v>
                </c:pt>
                <c:pt idx="15">
                  <c:v>-9.8004349690183989</c:v>
                </c:pt>
                <c:pt idx="16">
                  <c:v>-14.12986220998387</c:v>
                </c:pt>
                <c:pt idx="17">
                  <c:v>-16.595107957258964</c:v>
                </c:pt>
                <c:pt idx="18">
                  <c:v>-16.673706990082124</c:v>
                </c:pt>
                <c:pt idx="19">
                  <c:v>-15.707035536653336</c:v>
                </c:pt>
                <c:pt idx="20">
                  <c:v>-19.633449783694058</c:v>
                </c:pt>
                <c:pt idx="21">
                  <c:v>-23.788807201688929</c:v>
                </c:pt>
                <c:pt idx="22">
                  <c:v>-21.891965579068497</c:v>
                </c:pt>
                <c:pt idx="23">
                  <c:v>-21.870867995539985</c:v>
                </c:pt>
                <c:pt idx="24">
                  <c:v>-21.277780753263979</c:v>
                </c:pt>
                <c:pt idx="25">
                  <c:v>-23.337257864101161</c:v>
                </c:pt>
                <c:pt idx="26">
                  <c:v>-25.773771694272</c:v>
                </c:pt>
                <c:pt idx="27">
                  <c:v>-29.150994705705713</c:v>
                </c:pt>
                <c:pt idx="28">
                  <c:v>-26.965288381475773</c:v>
                </c:pt>
                <c:pt idx="29">
                  <c:v>-20.216971341645095</c:v>
                </c:pt>
                <c:pt idx="30">
                  <c:v>-20.789363149769283</c:v>
                </c:pt>
                <c:pt idx="31">
                  <c:v>-18.50333400384844</c:v>
                </c:pt>
                <c:pt idx="32">
                  <c:v>-27.398022856415231</c:v>
                </c:pt>
                <c:pt idx="33">
                  <c:v>-22.820131487915329</c:v>
                </c:pt>
                <c:pt idx="34">
                  <c:v>-26.987361336961204</c:v>
                </c:pt>
                <c:pt idx="35">
                  <c:v>-33.305012733303052</c:v>
                </c:pt>
                <c:pt idx="36">
                  <c:v>-26.764408087130526</c:v>
                </c:pt>
                <c:pt idx="37">
                  <c:v>-16.62670425295973</c:v>
                </c:pt>
                <c:pt idx="38">
                  <c:v>-14.506801572644617</c:v>
                </c:pt>
                <c:pt idx="39">
                  <c:v>-16.7</c:v>
                </c:pt>
                <c:pt idx="40">
                  <c:v>-18.12020796730943</c:v>
                </c:pt>
                <c:pt idx="41" formatCode="General">
                  <c:v>-15.241299993196513</c:v>
                </c:pt>
                <c:pt idx="42" formatCode="0.0">
                  <c:v>-18.212765523946558</c:v>
                </c:pt>
                <c:pt idx="43" formatCode="0.0">
                  <c:v>-20.7</c:v>
                </c:pt>
                <c:pt idx="44" formatCode="0.0">
                  <c:v>-21.239570741294095</c:v>
                </c:pt>
                <c:pt idx="45" formatCode="0.0">
                  <c:v>-24.187755596841431</c:v>
                </c:pt>
                <c:pt idx="46" formatCode="0.0">
                  <c:v>-26.020639530378276</c:v>
                </c:pt>
                <c:pt idx="47" formatCode="0.0">
                  <c:v>-22.058531326387186</c:v>
                </c:pt>
                <c:pt idx="48" formatCode="0.0">
                  <c:v>-22.878127876162289</c:v>
                </c:pt>
                <c:pt idx="49" formatCode="0.0">
                  <c:v>-26.986745192981463</c:v>
                </c:pt>
                <c:pt idx="50" formatCode="0.0">
                  <c:v>-33.978821699551595</c:v>
                </c:pt>
                <c:pt idx="51" formatCode="0.0">
                  <c:v>-39.90109851869714</c:v>
                </c:pt>
                <c:pt idx="52" formatCode="0.0">
                  <c:v>-47.4</c:v>
                </c:pt>
                <c:pt idx="53" formatCode="0.0">
                  <c:v>-49.983603873812044</c:v>
                </c:pt>
                <c:pt idx="54" formatCode="0.0">
                  <c:v>-47.976189869600539</c:v>
                </c:pt>
                <c:pt idx="55" formatCode="###0.0">
                  <c:v>-48.996187860965861</c:v>
                </c:pt>
                <c:pt idx="56" formatCode="###0.0">
                  <c:v>-50.914989365217039</c:v>
                </c:pt>
                <c:pt idx="57" formatCode="###0.0">
                  <c:v>-48.695739372079345</c:v>
                </c:pt>
                <c:pt idx="58" formatCode="###0.0">
                  <c:v>-47.705982595091868</c:v>
                </c:pt>
                <c:pt idx="59" formatCode="###0.0">
                  <c:v>-52.997909819539771</c:v>
                </c:pt>
              </c:numCache>
            </c:numRef>
          </c:val>
        </c:ser>
        <c:ser>
          <c:idx val="2"/>
          <c:order val="2"/>
          <c:tx>
            <c:strRef>
              <c:f>'tableau note ar'!$A$9</c:f>
              <c:strCache>
                <c:ptCount val="1"/>
                <c:pt idx="0">
                  <c:v>التطور المرتقب للوضعية المالية للأسرة</c:v>
                </c:pt>
              </c:strCache>
            </c:strRef>
          </c:tx>
          <c:cat>
            <c:strRef>
              <c:f>'tableau note ar'!$B$1:$BI$1</c:f>
              <c:strCache>
                <c:ptCount val="60"/>
                <c:pt idx="0">
                  <c:v>T1/08</c:v>
                </c:pt>
                <c:pt idx="1">
                  <c:v>T2/08</c:v>
                </c:pt>
                <c:pt idx="2">
                  <c:v>T3/08</c:v>
                </c:pt>
                <c:pt idx="3">
                  <c:v>T4/08</c:v>
                </c:pt>
                <c:pt idx="4">
                  <c:v>T1/09</c:v>
                </c:pt>
                <c:pt idx="5">
                  <c:v>T2/09</c:v>
                </c:pt>
                <c:pt idx="6">
                  <c:v>T3/09</c:v>
                </c:pt>
                <c:pt idx="7">
                  <c:v>T4/09</c:v>
                </c:pt>
                <c:pt idx="8">
                  <c:v>T1/10</c:v>
                </c:pt>
                <c:pt idx="9">
                  <c:v>T2/10</c:v>
                </c:pt>
                <c:pt idx="10">
                  <c:v>T3/10</c:v>
                </c:pt>
                <c:pt idx="11">
                  <c:v>T4/10</c:v>
                </c:pt>
                <c:pt idx="12">
                  <c:v>T1/11</c:v>
                </c:pt>
                <c:pt idx="13">
                  <c:v>T2/11</c:v>
                </c:pt>
                <c:pt idx="14">
                  <c:v>T3/11</c:v>
                </c:pt>
                <c:pt idx="15">
                  <c:v>T4/11</c:v>
                </c:pt>
                <c:pt idx="16">
                  <c:v>T1/12</c:v>
                </c:pt>
                <c:pt idx="17">
                  <c:v>T2/12</c:v>
                </c:pt>
                <c:pt idx="18">
                  <c:v>T3/12</c:v>
                </c:pt>
                <c:pt idx="19">
                  <c:v>T4/12</c:v>
                </c:pt>
                <c:pt idx="20">
                  <c:v>T1/13</c:v>
                </c:pt>
                <c:pt idx="21">
                  <c:v>T2/13</c:v>
                </c:pt>
                <c:pt idx="22">
                  <c:v>T3/13</c:v>
                </c:pt>
                <c:pt idx="23">
                  <c:v>T4/13</c:v>
                </c:pt>
                <c:pt idx="24">
                  <c:v>T1/14</c:v>
                </c:pt>
                <c:pt idx="25">
                  <c:v>T2/14</c:v>
                </c:pt>
                <c:pt idx="26">
                  <c:v>T3/14</c:v>
                </c:pt>
                <c:pt idx="27">
                  <c:v>T4/14</c:v>
                </c:pt>
                <c:pt idx="28">
                  <c:v>T1/15</c:v>
                </c:pt>
                <c:pt idx="29">
                  <c:v>T2/15</c:v>
                </c:pt>
                <c:pt idx="30">
                  <c:v>T3/15</c:v>
                </c:pt>
                <c:pt idx="31">
                  <c:v>T4/15</c:v>
                </c:pt>
                <c:pt idx="32">
                  <c:v>T1/16</c:v>
                </c:pt>
                <c:pt idx="33">
                  <c:v>T2/16</c:v>
                </c:pt>
                <c:pt idx="34">
                  <c:v>T3/16</c:v>
                </c:pt>
                <c:pt idx="35">
                  <c:v>T4/16</c:v>
                </c:pt>
                <c:pt idx="36">
                  <c:v>T1/17</c:v>
                </c:pt>
                <c:pt idx="37">
                  <c:v>T2/17</c:v>
                </c:pt>
                <c:pt idx="38">
                  <c:v>T3/17</c:v>
                </c:pt>
                <c:pt idx="39">
                  <c:v>T4/17</c:v>
                </c:pt>
                <c:pt idx="40">
                  <c:v>T1/18</c:v>
                </c:pt>
                <c:pt idx="41">
                  <c:v>T2/18</c:v>
                </c:pt>
                <c:pt idx="42">
                  <c:v>T3/18</c:v>
                </c:pt>
                <c:pt idx="43">
                  <c:v>T4/18</c:v>
                </c:pt>
                <c:pt idx="44">
                  <c:v>T1/19</c:v>
                </c:pt>
                <c:pt idx="45">
                  <c:v>T2/19</c:v>
                </c:pt>
                <c:pt idx="46">
                  <c:v>T3/19</c:v>
                </c:pt>
                <c:pt idx="47">
                  <c:v>T4/19</c:v>
                </c:pt>
                <c:pt idx="48">
                  <c:v>T1/20</c:v>
                </c:pt>
                <c:pt idx="49">
                  <c:v>T2/20</c:v>
                </c:pt>
                <c:pt idx="50">
                  <c:v>T3/20</c:v>
                </c:pt>
                <c:pt idx="51">
                  <c:v>T4/20</c:v>
                </c:pt>
                <c:pt idx="52">
                  <c:v>T1/21</c:v>
                </c:pt>
                <c:pt idx="53">
                  <c:v>T2/21</c:v>
                </c:pt>
                <c:pt idx="54">
                  <c:v>T3/21</c:v>
                </c:pt>
                <c:pt idx="55">
                  <c:v>T4/21</c:v>
                </c:pt>
                <c:pt idx="56">
                  <c:v>T1/22</c:v>
                </c:pt>
                <c:pt idx="57">
                  <c:v>T2/22</c:v>
                </c:pt>
                <c:pt idx="58">
                  <c:v>T3/22</c:v>
                </c:pt>
                <c:pt idx="59">
                  <c:v>T4/22</c:v>
                </c:pt>
              </c:strCache>
            </c:strRef>
          </c:cat>
          <c:val>
            <c:numRef>
              <c:f>'tableau note ar'!$B$9:$BI$9</c:f>
              <c:numCache>
                <c:formatCode>#,##0.0</c:formatCode>
                <c:ptCount val="60"/>
                <c:pt idx="0">
                  <c:v>23.9</c:v>
                </c:pt>
                <c:pt idx="1">
                  <c:v>15.58418860861071</c:v>
                </c:pt>
                <c:pt idx="2">
                  <c:v>16.580364039590329</c:v>
                </c:pt>
                <c:pt idx="3">
                  <c:v>26.705941849103194</c:v>
                </c:pt>
                <c:pt idx="4">
                  <c:v>26.769154239001935</c:v>
                </c:pt>
                <c:pt idx="5">
                  <c:v>21.986954089697061</c:v>
                </c:pt>
                <c:pt idx="6">
                  <c:v>17.532817766676487</c:v>
                </c:pt>
                <c:pt idx="7">
                  <c:v>17.09400625121032</c:v>
                </c:pt>
                <c:pt idx="8">
                  <c:v>17.787694440036187</c:v>
                </c:pt>
                <c:pt idx="9">
                  <c:v>11.776375704730508</c:v>
                </c:pt>
                <c:pt idx="10">
                  <c:v>7.8068380126684715</c:v>
                </c:pt>
                <c:pt idx="11">
                  <c:v>9.3656519222157506</c:v>
                </c:pt>
                <c:pt idx="12">
                  <c:v>10.223761077165181</c:v>
                </c:pt>
                <c:pt idx="13">
                  <c:v>20.35454845779272</c:v>
                </c:pt>
                <c:pt idx="14">
                  <c:v>15.105327443781253</c:v>
                </c:pt>
                <c:pt idx="15">
                  <c:v>13.999505506513676</c:v>
                </c:pt>
                <c:pt idx="16">
                  <c:v>11.230833640450332</c:v>
                </c:pt>
                <c:pt idx="17">
                  <c:v>11.136340416980383</c:v>
                </c:pt>
                <c:pt idx="18">
                  <c:v>7.6658451594012966</c:v>
                </c:pt>
                <c:pt idx="19">
                  <c:v>10.649290737183625</c:v>
                </c:pt>
                <c:pt idx="20">
                  <c:v>4.5484811189173895</c:v>
                </c:pt>
                <c:pt idx="21">
                  <c:v>0.71644439200690369</c:v>
                </c:pt>
                <c:pt idx="22">
                  <c:v>2.7930128120198785</c:v>
                </c:pt>
                <c:pt idx="23">
                  <c:v>-1.7003971659207195</c:v>
                </c:pt>
                <c:pt idx="24">
                  <c:v>1.2126606998519158</c:v>
                </c:pt>
                <c:pt idx="25">
                  <c:v>-2.6659512091834952</c:v>
                </c:pt>
                <c:pt idx="26">
                  <c:v>-1.4735728224612341</c:v>
                </c:pt>
                <c:pt idx="27">
                  <c:v>-3.913903848287156</c:v>
                </c:pt>
                <c:pt idx="28">
                  <c:v>8.9330913123193523E-2</c:v>
                </c:pt>
                <c:pt idx="29">
                  <c:v>4.1756310519058966</c:v>
                </c:pt>
                <c:pt idx="30">
                  <c:v>3.3451516718598637</c:v>
                </c:pt>
                <c:pt idx="31">
                  <c:v>7.6417999475620588</c:v>
                </c:pt>
                <c:pt idx="32">
                  <c:v>1.237335192809401</c:v>
                </c:pt>
                <c:pt idx="33">
                  <c:v>2.2988859177154</c:v>
                </c:pt>
                <c:pt idx="34">
                  <c:v>4.9642092382991612</c:v>
                </c:pt>
                <c:pt idx="35">
                  <c:v>6.4877666459978194</c:v>
                </c:pt>
                <c:pt idx="36">
                  <c:v>13.359772169150252</c:v>
                </c:pt>
                <c:pt idx="37">
                  <c:v>22.123807522802235</c:v>
                </c:pt>
                <c:pt idx="38">
                  <c:v>19.596485843359812</c:v>
                </c:pt>
                <c:pt idx="39">
                  <c:v>19.180868333171652</c:v>
                </c:pt>
                <c:pt idx="40">
                  <c:v>25.926424488378231</c:v>
                </c:pt>
                <c:pt idx="41" formatCode="General">
                  <c:v>28.13049374002523</c:v>
                </c:pt>
                <c:pt idx="42" formatCode="0.0">
                  <c:v>18.237772049662333</c:v>
                </c:pt>
                <c:pt idx="43" formatCode="0.0">
                  <c:v>19.100000000000001</c:v>
                </c:pt>
                <c:pt idx="44" formatCode="0.0">
                  <c:v>20.686932465103727</c:v>
                </c:pt>
                <c:pt idx="45" formatCode="0.0">
                  <c:v>18.273992721467774</c:v>
                </c:pt>
                <c:pt idx="46" formatCode="0.0">
                  <c:v>12.775065694831193</c:v>
                </c:pt>
                <c:pt idx="47" formatCode="0.0">
                  <c:v>15.949037871016621</c:v>
                </c:pt>
                <c:pt idx="48" formatCode="0.0">
                  <c:v>8.5440476832129519</c:v>
                </c:pt>
                <c:pt idx="49" formatCode="0.0">
                  <c:v>-4.5622056678242258</c:v>
                </c:pt>
                <c:pt idx="50" formatCode="0.0">
                  <c:v>-11.891224568065192</c:v>
                </c:pt>
                <c:pt idx="51" formatCode="0.0">
                  <c:v>0.5872218846748406</c:v>
                </c:pt>
                <c:pt idx="52" formatCode="0.0">
                  <c:v>21.2</c:v>
                </c:pt>
                <c:pt idx="53" formatCode="0.0">
                  <c:v>14.805679039075395</c:v>
                </c:pt>
                <c:pt idx="54" formatCode="0.0">
                  <c:v>15.138710068393648</c:v>
                </c:pt>
                <c:pt idx="55" formatCode="###0.0">
                  <c:v>15.055968466044563</c:v>
                </c:pt>
                <c:pt idx="56" formatCode="###0.0">
                  <c:v>8.2820663349680643</c:v>
                </c:pt>
                <c:pt idx="57" formatCode="###0.0">
                  <c:v>-0.1</c:v>
                </c:pt>
                <c:pt idx="58" formatCode="###0.0">
                  <c:v>-5.9102037420420421</c:v>
                </c:pt>
                <c:pt idx="59" formatCode="###0.0">
                  <c:v>-7.7399452408305418</c:v>
                </c:pt>
              </c:numCache>
            </c:numRef>
          </c:val>
        </c:ser>
        <c:marker val="1"/>
        <c:axId val="59285504"/>
        <c:axId val="59287040"/>
      </c:lineChart>
      <c:catAx>
        <c:axId val="59285504"/>
        <c:scaling>
          <c:orientation val="minMax"/>
        </c:scaling>
        <c:axPos val="b"/>
        <c:numFmt formatCode="General" sourceLinked="1"/>
        <c:majorTickMark val="none"/>
        <c:tickLblPos val="low"/>
        <c:txPr>
          <a:bodyPr/>
          <a:lstStyle/>
          <a:p>
            <a:pPr>
              <a:defRPr lang="en-US" sz="500"/>
            </a:pPr>
            <a:endParaRPr lang="fr-FR"/>
          </a:p>
        </c:txPr>
        <c:crossAx val="59287040"/>
        <c:crosses val="autoZero"/>
        <c:auto val="1"/>
        <c:lblAlgn val="ctr"/>
        <c:lblOffset val="100"/>
      </c:catAx>
      <c:valAx>
        <c:axId val="59287040"/>
        <c:scaling>
          <c:orientation val="minMax"/>
        </c:scaling>
        <c:axPos val="l"/>
        <c:majorGridlines/>
        <c:numFmt formatCode="#,##0" sourceLinked="0"/>
        <c:majorTickMark val="none"/>
        <c:tickLblPos val="nextTo"/>
        <c:spPr>
          <a:ln w="9525">
            <a:noFill/>
          </a:ln>
        </c:spPr>
        <c:txPr>
          <a:bodyPr/>
          <a:lstStyle/>
          <a:p>
            <a:pPr>
              <a:defRPr lang="en-US" sz="700"/>
            </a:pPr>
            <a:endParaRPr lang="fr-FR"/>
          </a:p>
        </c:txPr>
        <c:crossAx val="59285504"/>
        <c:crosses val="autoZero"/>
        <c:crossBetween val="between"/>
      </c:valAx>
    </c:plotArea>
    <c:legend>
      <c:legendPos val="b"/>
      <c:txPr>
        <a:bodyPr/>
        <a:lstStyle/>
        <a:p>
          <a:pPr>
            <a:defRPr lang="en-US" sz="900"/>
          </a:pPr>
          <a:endParaRPr lang="fr-FR"/>
        </a:p>
      </c:txPr>
    </c:legend>
    <c:plotVisOnly val="1"/>
    <c:dispBlanksAs val="gap"/>
  </c:chart>
  <c:spPr>
    <a:ln w="3175">
      <a:solidFill>
        <a:schemeClr val="tx1"/>
      </a:solidFill>
    </a:ln>
  </c:spPr>
  <c:externalData r:id="rId1"/>
</c:chartSpace>
</file>

<file path=word/charts/chart6.xml><?xml version="1.0" encoding="utf-8"?>
<c:chartSpace xmlns:c="http://schemas.openxmlformats.org/drawingml/2006/chart" xmlns:a="http://schemas.openxmlformats.org/drawingml/2006/main" xmlns:r="http://schemas.openxmlformats.org/officeDocument/2006/relationships">
  <c:date1904 val="1"/>
  <c:lang val="fr-FR"/>
  <c:chart>
    <c:autoTitleDeleted val="1"/>
    <c:plotArea>
      <c:layout>
        <c:manualLayout>
          <c:layoutTarget val="inner"/>
          <c:xMode val="edge"/>
          <c:yMode val="edge"/>
          <c:x val="7.5035168444331543E-2"/>
          <c:y val="4.6045622846498414E-2"/>
          <c:w val="0.91007862895562319"/>
          <c:h val="0.74062639766135363"/>
        </c:manualLayout>
      </c:layout>
      <c:lineChart>
        <c:grouping val="standard"/>
        <c:ser>
          <c:idx val="0"/>
          <c:order val="0"/>
          <c:tx>
            <c:strRef>
              <c:f>'tableau note ar'!$A$11</c:f>
              <c:strCache>
                <c:ptCount val="1"/>
                <c:pt idx="0">
                  <c:v>التطور المرتقب لأسعار المواد الغذائية</c:v>
                </c:pt>
              </c:strCache>
            </c:strRef>
          </c:tx>
          <c:marker>
            <c:symbol val="circle"/>
            <c:size val="4"/>
          </c:marker>
          <c:cat>
            <c:strRef>
              <c:f>'tableau note ar'!$B$1:$BI$1</c:f>
              <c:strCache>
                <c:ptCount val="60"/>
                <c:pt idx="0">
                  <c:v>T1/08</c:v>
                </c:pt>
                <c:pt idx="1">
                  <c:v>T2/08</c:v>
                </c:pt>
                <c:pt idx="2">
                  <c:v>T3/08</c:v>
                </c:pt>
                <c:pt idx="3">
                  <c:v>T4/08</c:v>
                </c:pt>
                <c:pt idx="4">
                  <c:v>T1/09</c:v>
                </c:pt>
                <c:pt idx="5">
                  <c:v>T2/09</c:v>
                </c:pt>
                <c:pt idx="6">
                  <c:v>T3/09</c:v>
                </c:pt>
                <c:pt idx="7">
                  <c:v>T4/09</c:v>
                </c:pt>
                <c:pt idx="8">
                  <c:v>T1/10</c:v>
                </c:pt>
                <c:pt idx="9">
                  <c:v>T2/10</c:v>
                </c:pt>
                <c:pt idx="10">
                  <c:v>T3/10</c:v>
                </c:pt>
                <c:pt idx="11">
                  <c:v>T4/10</c:v>
                </c:pt>
                <c:pt idx="12">
                  <c:v>T1/11</c:v>
                </c:pt>
                <c:pt idx="13">
                  <c:v>T2/11</c:v>
                </c:pt>
                <c:pt idx="14">
                  <c:v>T3/11</c:v>
                </c:pt>
                <c:pt idx="15">
                  <c:v>T4/11</c:v>
                </c:pt>
                <c:pt idx="16">
                  <c:v>T1/12</c:v>
                </c:pt>
                <c:pt idx="17">
                  <c:v>T2/12</c:v>
                </c:pt>
                <c:pt idx="18">
                  <c:v>T3/12</c:v>
                </c:pt>
                <c:pt idx="19">
                  <c:v>T4/12</c:v>
                </c:pt>
                <c:pt idx="20">
                  <c:v>T1/13</c:v>
                </c:pt>
                <c:pt idx="21">
                  <c:v>T2/13</c:v>
                </c:pt>
                <c:pt idx="22">
                  <c:v>T3/13</c:v>
                </c:pt>
                <c:pt idx="23">
                  <c:v>T4/13</c:v>
                </c:pt>
                <c:pt idx="24">
                  <c:v>T1/14</c:v>
                </c:pt>
                <c:pt idx="25">
                  <c:v>T2/14</c:v>
                </c:pt>
                <c:pt idx="26">
                  <c:v>T3/14</c:v>
                </c:pt>
                <c:pt idx="27">
                  <c:v>T4/14</c:v>
                </c:pt>
                <c:pt idx="28">
                  <c:v>T1/15</c:v>
                </c:pt>
                <c:pt idx="29">
                  <c:v>T2/15</c:v>
                </c:pt>
                <c:pt idx="30">
                  <c:v>T3/15</c:v>
                </c:pt>
                <c:pt idx="31">
                  <c:v>T4/15</c:v>
                </c:pt>
                <c:pt idx="32">
                  <c:v>T1/16</c:v>
                </c:pt>
                <c:pt idx="33">
                  <c:v>T2/16</c:v>
                </c:pt>
                <c:pt idx="34">
                  <c:v>T3/16</c:v>
                </c:pt>
                <c:pt idx="35">
                  <c:v>T4/16</c:v>
                </c:pt>
                <c:pt idx="36">
                  <c:v>T1/17</c:v>
                </c:pt>
                <c:pt idx="37">
                  <c:v>T2/17</c:v>
                </c:pt>
                <c:pt idx="38">
                  <c:v>T3/17</c:v>
                </c:pt>
                <c:pt idx="39">
                  <c:v>T4/17</c:v>
                </c:pt>
                <c:pt idx="40">
                  <c:v>T1/18</c:v>
                </c:pt>
                <c:pt idx="41">
                  <c:v>T2/18</c:v>
                </c:pt>
                <c:pt idx="42">
                  <c:v>T3/18</c:v>
                </c:pt>
                <c:pt idx="43">
                  <c:v>T4/18</c:v>
                </c:pt>
                <c:pt idx="44">
                  <c:v>T1/19</c:v>
                </c:pt>
                <c:pt idx="45">
                  <c:v>T2/19</c:v>
                </c:pt>
                <c:pt idx="46">
                  <c:v>T3/19</c:v>
                </c:pt>
                <c:pt idx="47">
                  <c:v>T4/19</c:v>
                </c:pt>
                <c:pt idx="48">
                  <c:v>T1/20</c:v>
                </c:pt>
                <c:pt idx="49">
                  <c:v>T2/20</c:v>
                </c:pt>
                <c:pt idx="50">
                  <c:v>T3/20</c:v>
                </c:pt>
                <c:pt idx="51">
                  <c:v>T4/20</c:v>
                </c:pt>
                <c:pt idx="52">
                  <c:v>T1/21</c:v>
                </c:pt>
                <c:pt idx="53">
                  <c:v>T2/21</c:v>
                </c:pt>
                <c:pt idx="54">
                  <c:v>T3/21</c:v>
                </c:pt>
                <c:pt idx="55">
                  <c:v>T4/21</c:v>
                </c:pt>
                <c:pt idx="56">
                  <c:v>T1/22</c:v>
                </c:pt>
                <c:pt idx="57">
                  <c:v>T2/22</c:v>
                </c:pt>
                <c:pt idx="58">
                  <c:v>T3/22</c:v>
                </c:pt>
                <c:pt idx="59">
                  <c:v>T4/22</c:v>
                </c:pt>
              </c:strCache>
            </c:strRef>
          </c:cat>
          <c:val>
            <c:numRef>
              <c:f>'tableau note ar'!$B$11:$BI$11</c:f>
              <c:numCache>
                <c:formatCode>#,##0.0</c:formatCode>
                <c:ptCount val="60"/>
                <c:pt idx="0">
                  <c:v>-74.061389031284818</c:v>
                </c:pt>
                <c:pt idx="1">
                  <c:v>-77.71657465161033</c:v>
                </c:pt>
                <c:pt idx="2">
                  <c:v>-78.940542419693813</c:v>
                </c:pt>
                <c:pt idx="3">
                  <c:v>-49.653420650313564</c:v>
                </c:pt>
                <c:pt idx="4">
                  <c:v>-34.869529990694446</c:v>
                </c:pt>
                <c:pt idx="5">
                  <c:v>-33.523065681383372</c:v>
                </c:pt>
                <c:pt idx="6">
                  <c:v>-50.919242344766445</c:v>
                </c:pt>
                <c:pt idx="7">
                  <c:v>-47.871947864454597</c:v>
                </c:pt>
                <c:pt idx="8">
                  <c:v>-46.515022811525796</c:v>
                </c:pt>
                <c:pt idx="9">
                  <c:v>-56.832932011427914</c:v>
                </c:pt>
                <c:pt idx="10">
                  <c:v>-62.176731306136908</c:v>
                </c:pt>
                <c:pt idx="11">
                  <c:v>-70.131788082404228</c:v>
                </c:pt>
                <c:pt idx="12">
                  <c:v>-73.412747182583928</c:v>
                </c:pt>
                <c:pt idx="13">
                  <c:v>-58.832065504603946</c:v>
                </c:pt>
                <c:pt idx="14">
                  <c:v>-72.59048616904964</c:v>
                </c:pt>
                <c:pt idx="15">
                  <c:v>-72.965887012435047</c:v>
                </c:pt>
                <c:pt idx="16">
                  <c:v>-69.834720496858949</c:v>
                </c:pt>
                <c:pt idx="17">
                  <c:v>-71.450027411204985</c:v>
                </c:pt>
                <c:pt idx="18">
                  <c:v>-73.57837146643395</c:v>
                </c:pt>
                <c:pt idx="19">
                  <c:v>-70.049698245525676</c:v>
                </c:pt>
                <c:pt idx="20">
                  <c:v>-76.09629668730058</c:v>
                </c:pt>
                <c:pt idx="21">
                  <c:v>-73.375476646911608</c:v>
                </c:pt>
                <c:pt idx="22">
                  <c:v>-76.007455926126042</c:v>
                </c:pt>
                <c:pt idx="23">
                  <c:v>-76.048555842624538</c:v>
                </c:pt>
                <c:pt idx="24">
                  <c:v>-77.551787041299889</c:v>
                </c:pt>
                <c:pt idx="25">
                  <c:v>-78.042355521266373</c:v>
                </c:pt>
                <c:pt idx="26">
                  <c:v>-76.898841721729823</c:v>
                </c:pt>
                <c:pt idx="27">
                  <c:v>-77.2</c:v>
                </c:pt>
                <c:pt idx="28">
                  <c:v>-77.231717010323948</c:v>
                </c:pt>
                <c:pt idx="29">
                  <c:v>-75.641194802119557</c:v>
                </c:pt>
                <c:pt idx="30">
                  <c:v>-75.301499740412396</c:v>
                </c:pt>
                <c:pt idx="31">
                  <c:v>-75.201077205088083</c:v>
                </c:pt>
                <c:pt idx="32">
                  <c:v>-79.25874198980361</c:v>
                </c:pt>
                <c:pt idx="33">
                  <c:v>-77.326465444648022</c:v>
                </c:pt>
                <c:pt idx="34">
                  <c:v>-77.900000000000006</c:v>
                </c:pt>
                <c:pt idx="35">
                  <c:v>-77.33590195130148</c:v>
                </c:pt>
                <c:pt idx="36">
                  <c:v>-77.664169536728878</c:v>
                </c:pt>
                <c:pt idx="37">
                  <c:v>-74.5</c:v>
                </c:pt>
                <c:pt idx="38">
                  <c:v>-73.964173414184586</c:v>
                </c:pt>
                <c:pt idx="39">
                  <c:v>-79.602800137507927</c:v>
                </c:pt>
                <c:pt idx="40">
                  <c:v>-82.909090889011466</c:v>
                </c:pt>
                <c:pt idx="41" formatCode="General">
                  <c:v>-84.024833717392056</c:v>
                </c:pt>
                <c:pt idx="42">
                  <c:v>-82.078038176837424</c:v>
                </c:pt>
                <c:pt idx="43">
                  <c:v>-86.6</c:v>
                </c:pt>
                <c:pt idx="44">
                  <c:v>-87.54271632969234</c:v>
                </c:pt>
                <c:pt idx="45">
                  <c:v>-86.508482649196509</c:v>
                </c:pt>
                <c:pt idx="46">
                  <c:v>-83.288697742697579</c:v>
                </c:pt>
                <c:pt idx="47">
                  <c:v>-82.220036585575144</c:v>
                </c:pt>
                <c:pt idx="48">
                  <c:v>-82.585609750348496</c:v>
                </c:pt>
                <c:pt idx="49">
                  <c:v>-69.044082249115988</c:v>
                </c:pt>
                <c:pt idx="50" formatCode="0.0">
                  <c:v>-68.063522341730973</c:v>
                </c:pt>
                <c:pt idx="51" formatCode="0.0">
                  <c:v>-64.634662916008139</c:v>
                </c:pt>
                <c:pt idx="52" formatCode="0.0">
                  <c:v>-60.2</c:v>
                </c:pt>
                <c:pt idx="53" formatCode="0.0">
                  <c:v>-67.626807058147179</c:v>
                </c:pt>
                <c:pt idx="54" formatCode="0.0">
                  <c:v>-70.948472628894308</c:v>
                </c:pt>
                <c:pt idx="55" formatCode="###0.0">
                  <c:v>-76.250623411131627</c:v>
                </c:pt>
                <c:pt idx="56" formatCode="###0.0">
                  <c:v>-74.08113857965067</c:v>
                </c:pt>
                <c:pt idx="57" formatCode="###0.0">
                  <c:v>-74.293813887540622</c:v>
                </c:pt>
                <c:pt idx="58" formatCode="###0.0">
                  <c:v>-73.590712253861767</c:v>
                </c:pt>
                <c:pt idx="59" formatCode="###0.0">
                  <c:v>-71.823546131746824</c:v>
                </c:pt>
              </c:numCache>
            </c:numRef>
          </c:val>
        </c:ser>
        <c:ser>
          <c:idx val="1"/>
          <c:order val="1"/>
          <c:tx>
            <c:strRef>
              <c:f>'tableau note ar'!$A$12</c:f>
              <c:strCache>
                <c:ptCount val="1"/>
                <c:pt idx="0">
                  <c:v>التطور السابق لأسعار المواد الغذائية</c:v>
                </c:pt>
              </c:strCache>
            </c:strRef>
          </c:tx>
          <c:cat>
            <c:strRef>
              <c:f>'tableau note ar'!$B$1:$BI$1</c:f>
              <c:strCache>
                <c:ptCount val="60"/>
                <c:pt idx="0">
                  <c:v>T1/08</c:v>
                </c:pt>
                <c:pt idx="1">
                  <c:v>T2/08</c:v>
                </c:pt>
                <c:pt idx="2">
                  <c:v>T3/08</c:v>
                </c:pt>
                <c:pt idx="3">
                  <c:v>T4/08</c:v>
                </c:pt>
                <c:pt idx="4">
                  <c:v>T1/09</c:v>
                </c:pt>
                <c:pt idx="5">
                  <c:v>T2/09</c:v>
                </c:pt>
                <c:pt idx="6">
                  <c:v>T3/09</c:v>
                </c:pt>
                <c:pt idx="7">
                  <c:v>T4/09</c:v>
                </c:pt>
                <c:pt idx="8">
                  <c:v>T1/10</c:v>
                </c:pt>
                <c:pt idx="9">
                  <c:v>T2/10</c:v>
                </c:pt>
                <c:pt idx="10">
                  <c:v>T3/10</c:v>
                </c:pt>
                <c:pt idx="11">
                  <c:v>T4/10</c:v>
                </c:pt>
                <c:pt idx="12">
                  <c:v>T1/11</c:v>
                </c:pt>
                <c:pt idx="13">
                  <c:v>T2/11</c:v>
                </c:pt>
                <c:pt idx="14">
                  <c:v>T3/11</c:v>
                </c:pt>
                <c:pt idx="15">
                  <c:v>T4/11</c:v>
                </c:pt>
                <c:pt idx="16">
                  <c:v>T1/12</c:v>
                </c:pt>
                <c:pt idx="17">
                  <c:v>T2/12</c:v>
                </c:pt>
                <c:pt idx="18">
                  <c:v>T3/12</c:v>
                </c:pt>
                <c:pt idx="19">
                  <c:v>T4/12</c:v>
                </c:pt>
                <c:pt idx="20">
                  <c:v>T1/13</c:v>
                </c:pt>
                <c:pt idx="21">
                  <c:v>T2/13</c:v>
                </c:pt>
                <c:pt idx="22">
                  <c:v>T3/13</c:v>
                </c:pt>
                <c:pt idx="23">
                  <c:v>T4/13</c:v>
                </c:pt>
                <c:pt idx="24">
                  <c:v>T1/14</c:v>
                </c:pt>
                <c:pt idx="25">
                  <c:v>T2/14</c:v>
                </c:pt>
                <c:pt idx="26">
                  <c:v>T3/14</c:v>
                </c:pt>
                <c:pt idx="27">
                  <c:v>T4/14</c:v>
                </c:pt>
                <c:pt idx="28">
                  <c:v>T1/15</c:v>
                </c:pt>
                <c:pt idx="29">
                  <c:v>T2/15</c:v>
                </c:pt>
                <c:pt idx="30">
                  <c:v>T3/15</c:v>
                </c:pt>
                <c:pt idx="31">
                  <c:v>T4/15</c:v>
                </c:pt>
                <c:pt idx="32">
                  <c:v>T1/16</c:v>
                </c:pt>
                <c:pt idx="33">
                  <c:v>T2/16</c:v>
                </c:pt>
                <c:pt idx="34">
                  <c:v>T3/16</c:v>
                </c:pt>
                <c:pt idx="35">
                  <c:v>T4/16</c:v>
                </c:pt>
                <c:pt idx="36">
                  <c:v>T1/17</c:v>
                </c:pt>
                <c:pt idx="37">
                  <c:v>T2/17</c:v>
                </c:pt>
                <c:pt idx="38">
                  <c:v>T3/17</c:v>
                </c:pt>
                <c:pt idx="39">
                  <c:v>T4/17</c:v>
                </c:pt>
                <c:pt idx="40">
                  <c:v>T1/18</c:v>
                </c:pt>
                <c:pt idx="41">
                  <c:v>T2/18</c:v>
                </c:pt>
                <c:pt idx="42">
                  <c:v>T3/18</c:v>
                </c:pt>
                <c:pt idx="43">
                  <c:v>T4/18</c:v>
                </c:pt>
                <c:pt idx="44">
                  <c:v>T1/19</c:v>
                </c:pt>
                <c:pt idx="45">
                  <c:v>T2/19</c:v>
                </c:pt>
                <c:pt idx="46">
                  <c:v>T3/19</c:v>
                </c:pt>
                <c:pt idx="47">
                  <c:v>T4/19</c:v>
                </c:pt>
                <c:pt idx="48">
                  <c:v>T1/20</c:v>
                </c:pt>
                <c:pt idx="49">
                  <c:v>T2/20</c:v>
                </c:pt>
                <c:pt idx="50">
                  <c:v>T3/20</c:v>
                </c:pt>
                <c:pt idx="51">
                  <c:v>T4/20</c:v>
                </c:pt>
                <c:pt idx="52">
                  <c:v>T1/21</c:v>
                </c:pt>
                <c:pt idx="53">
                  <c:v>T2/21</c:v>
                </c:pt>
                <c:pt idx="54">
                  <c:v>T3/21</c:v>
                </c:pt>
                <c:pt idx="55">
                  <c:v>T4/21</c:v>
                </c:pt>
                <c:pt idx="56">
                  <c:v>T1/22</c:v>
                </c:pt>
                <c:pt idx="57">
                  <c:v>T2/22</c:v>
                </c:pt>
                <c:pt idx="58">
                  <c:v>T3/22</c:v>
                </c:pt>
                <c:pt idx="59">
                  <c:v>T4/22</c:v>
                </c:pt>
              </c:strCache>
            </c:strRef>
          </c:cat>
          <c:val>
            <c:numRef>
              <c:f>'tableau note ar'!$B$12:$BI$12</c:f>
              <c:numCache>
                <c:formatCode>#,##0.0</c:formatCode>
                <c:ptCount val="60"/>
                <c:pt idx="0">
                  <c:v>-93.561530615416999</c:v>
                </c:pt>
                <c:pt idx="1">
                  <c:v>-95.947220816722407</c:v>
                </c:pt>
                <c:pt idx="2">
                  <c:v>-98.048475442965014</c:v>
                </c:pt>
                <c:pt idx="3">
                  <c:v>-96.216541508823312</c:v>
                </c:pt>
                <c:pt idx="4">
                  <c:v>-93.990402062896209</c:v>
                </c:pt>
                <c:pt idx="5">
                  <c:v>-87.215803326852651</c:v>
                </c:pt>
                <c:pt idx="6">
                  <c:v>-85.738329527783449</c:v>
                </c:pt>
                <c:pt idx="7">
                  <c:v>-83.278098478101469</c:v>
                </c:pt>
                <c:pt idx="8">
                  <c:v>-79.493520436579956</c:v>
                </c:pt>
                <c:pt idx="9">
                  <c:v>-87.814557184919167</c:v>
                </c:pt>
                <c:pt idx="10">
                  <c:v>-89.729007404339953</c:v>
                </c:pt>
                <c:pt idx="11">
                  <c:v>-90.967802162493541</c:v>
                </c:pt>
                <c:pt idx="12">
                  <c:v>-95.526783459398686</c:v>
                </c:pt>
                <c:pt idx="13">
                  <c:v>-87.197236284295727</c:v>
                </c:pt>
                <c:pt idx="14">
                  <c:v>-89.924388392526126</c:v>
                </c:pt>
                <c:pt idx="15">
                  <c:v>-92.495216554147731</c:v>
                </c:pt>
                <c:pt idx="16">
                  <c:v>-91.625316584481851</c:v>
                </c:pt>
                <c:pt idx="17">
                  <c:v>-91.140544889708991</c:v>
                </c:pt>
                <c:pt idx="18">
                  <c:v>-91.653648288633619</c:v>
                </c:pt>
                <c:pt idx="19">
                  <c:v>-90.602273539903038</c:v>
                </c:pt>
                <c:pt idx="20">
                  <c:v>-91.630328830979678</c:v>
                </c:pt>
                <c:pt idx="21">
                  <c:v>-88.947630714849396</c:v>
                </c:pt>
                <c:pt idx="22">
                  <c:v>-90.507981291878522</c:v>
                </c:pt>
                <c:pt idx="23">
                  <c:v>-90.842402571703019</c:v>
                </c:pt>
                <c:pt idx="24">
                  <c:v>-89.421972084851788</c:v>
                </c:pt>
                <c:pt idx="25">
                  <c:v>-84.135715875789089</c:v>
                </c:pt>
                <c:pt idx="26">
                  <c:v>-81.763249669623718</c:v>
                </c:pt>
                <c:pt idx="27">
                  <c:v>-84.521199779532196</c:v>
                </c:pt>
                <c:pt idx="28">
                  <c:v>-87.223881643150108</c:v>
                </c:pt>
                <c:pt idx="29">
                  <c:v>-85.304961002513068</c:v>
                </c:pt>
                <c:pt idx="30">
                  <c:v>-84.28450715952377</c:v>
                </c:pt>
                <c:pt idx="31">
                  <c:v>-85.427496568127424</c:v>
                </c:pt>
                <c:pt idx="32">
                  <c:v>-85.452277394276848</c:v>
                </c:pt>
                <c:pt idx="33">
                  <c:v>-87.871778057968186</c:v>
                </c:pt>
                <c:pt idx="34">
                  <c:v>-87.672521775530939</c:v>
                </c:pt>
                <c:pt idx="35">
                  <c:v>-87.308587775463394</c:v>
                </c:pt>
                <c:pt idx="36">
                  <c:v>-86.771015006658288</c:v>
                </c:pt>
                <c:pt idx="37">
                  <c:v>-86.4</c:v>
                </c:pt>
                <c:pt idx="38">
                  <c:v>-82.805018292489478</c:v>
                </c:pt>
                <c:pt idx="39">
                  <c:v>-88.513579156072012</c:v>
                </c:pt>
                <c:pt idx="40">
                  <c:v>-86.694812387811382</c:v>
                </c:pt>
                <c:pt idx="41" formatCode="General">
                  <c:v>-88.182833745436696</c:v>
                </c:pt>
                <c:pt idx="42">
                  <c:v>-88.119908444008828</c:v>
                </c:pt>
                <c:pt idx="43">
                  <c:v>-90.3</c:v>
                </c:pt>
                <c:pt idx="44">
                  <c:v>-88.136419421127727</c:v>
                </c:pt>
                <c:pt idx="45">
                  <c:v>-88.912542109472369</c:v>
                </c:pt>
                <c:pt idx="46">
                  <c:v>-83.748311328811582</c:v>
                </c:pt>
                <c:pt idx="47">
                  <c:v>-85.084964738360227</c:v>
                </c:pt>
                <c:pt idx="48">
                  <c:v>-82.774085672956858</c:v>
                </c:pt>
                <c:pt idx="49">
                  <c:v>-67.616999612935103</c:v>
                </c:pt>
                <c:pt idx="50" formatCode="0.0">
                  <c:v>-75.123128911649388</c:v>
                </c:pt>
                <c:pt idx="51" formatCode="0.0">
                  <c:v>-74.676635648394679</c:v>
                </c:pt>
                <c:pt idx="52" formatCode="0.0">
                  <c:v>-74</c:v>
                </c:pt>
                <c:pt idx="53" formatCode="0.0">
                  <c:v>-86.830108784480686</c:v>
                </c:pt>
                <c:pt idx="54" formatCode="0.0">
                  <c:v>-86.892269253653168</c:v>
                </c:pt>
                <c:pt idx="55" formatCode="###0.0">
                  <c:v>-95.946419387502317</c:v>
                </c:pt>
                <c:pt idx="56" formatCode="###0.0">
                  <c:v>-97.899492867529489</c:v>
                </c:pt>
                <c:pt idx="57" formatCode="###0.0">
                  <c:v>-99.090827572349781</c:v>
                </c:pt>
                <c:pt idx="58" formatCode="###0.0">
                  <c:v>-99.053454059204242</c:v>
                </c:pt>
                <c:pt idx="59" formatCode="###0.0">
                  <c:v>-98.761441528769112</c:v>
                </c:pt>
              </c:numCache>
            </c:numRef>
          </c:val>
        </c:ser>
        <c:marker val="1"/>
        <c:axId val="59315712"/>
        <c:axId val="59317248"/>
      </c:lineChart>
      <c:catAx>
        <c:axId val="59315712"/>
        <c:scaling>
          <c:orientation val="minMax"/>
        </c:scaling>
        <c:axPos val="b"/>
        <c:numFmt formatCode="General" sourceLinked="0"/>
        <c:majorTickMark val="none"/>
        <c:tickLblPos val="low"/>
        <c:txPr>
          <a:bodyPr/>
          <a:lstStyle/>
          <a:p>
            <a:pPr>
              <a:defRPr lang="en-US" sz="500"/>
            </a:pPr>
            <a:endParaRPr lang="fr-FR"/>
          </a:p>
        </c:txPr>
        <c:crossAx val="59317248"/>
        <c:crosses val="autoZero"/>
        <c:auto val="1"/>
        <c:lblAlgn val="ctr"/>
        <c:lblOffset val="100"/>
      </c:catAx>
      <c:valAx>
        <c:axId val="59317248"/>
        <c:scaling>
          <c:orientation val="minMax"/>
        </c:scaling>
        <c:axPos val="l"/>
        <c:majorGridlines/>
        <c:numFmt formatCode="#,##0" sourceLinked="0"/>
        <c:majorTickMark val="none"/>
        <c:tickLblPos val="nextTo"/>
        <c:spPr>
          <a:ln w="9525">
            <a:noFill/>
          </a:ln>
        </c:spPr>
        <c:txPr>
          <a:bodyPr/>
          <a:lstStyle/>
          <a:p>
            <a:pPr>
              <a:defRPr lang="en-US" sz="700"/>
            </a:pPr>
            <a:endParaRPr lang="fr-FR"/>
          </a:p>
        </c:txPr>
        <c:crossAx val="59315712"/>
        <c:crosses val="autoZero"/>
        <c:crossBetween val="between"/>
      </c:valAx>
    </c:plotArea>
    <c:legend>
      <c:legendPos val="b"/>
      <c:layout>
        <c:manualLayout>
          <c:xMode val="edge"/>
          <c:yMode val="edge"/>
          <c:x val="0.11536776841978458"/>
          <c:y val="0.90385623481045341"/>
          <c:w val="0.75568319237971882"/>
          <c:h val="5.6646357451235807E-2"/>
        </c:manualLayout>
      </c:layout>
      <c:txPr>
        <a:bodyPr/>
        <a:lstStyle/>
        <a:p>
          <a:pPr>
            <a:defRPr lang="en-US"/>
          </a:pPr>
          <a:endParaRPr lang="fr-FR"/>
        </a:p>
      </c:txPr>
    </c:legend>
    <c:plotVisOnly val="1"/>
    <c:dispBlanksAs val="gap"/>
  </c:chart>
  <c:spPr>
    <a:ln w="3175">
      <a:solidFill>
        <a:schemeClr val="tx1"/>
      </a:solidFill>
    </a:ln>
  </c:spPr>
  <c:externalData r:id="rId1"/>
</c:chartSpace>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9A82791-8F3D-4AFF-9A55-DEF241C3B6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9</Pages>
  <Words>1614</Words>
  <Characters>8877</Characters>
  <Application>Microsoft Office Word</Application>
  <DocSecurity>0</DocSecurity>
  <Lines>73</Lines>
  <Paragraphs>20</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10471</CharactersWithSpaces>
  <SharedDoc>false</SharedDoc>
  <HLinks>
    <vt:vector size="6" baseType="variant">
      <vt:variant>
        <vt:i4>7405692</vt:i4>
      </vt:variant>
      <vt:variant>
        <vt:i4>15</vt:i4>
      </vt:variant>
      <vt:variant>
        <vt:i4>0</vt:i4>
      </vt:variant>
      <vt:variant>
        <vt:i4>5</vt:i4>
      </vt:variant>
      <vt:variant>
        <vt:lpwstr>http://www.hcp.ma/</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Btissam GHMIMAT</dc:creator>
  <cp:lastModifiedBy>User</cp:lastModifiedBy>
  <cp:revision>6</cp:revision>
  <cp:lastPrinted>2023-01-07T11:36:00Z</cp:lastPrinted>
  <dcterms:created xsi:type="dcterms:W3CDTF">2023-01-07T11:42:00Z</dcterms:created>
  <dcterms:modified xsi:type="dcterms:W3CDTF">2023-01-09T11:05:00Z</dcterms:modified>
</cp:coreProperties>
</file>