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077" w:rsidRPr="00BA7EA7" w:rsidRDefault="00F34D65" w:rsidP="00BA7EA7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bookmarkStart w:id="0" w:name="_GoBack"/>
      <w:bookmarkEnd w:id="0"/>
      <w:r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         </w:t>
      </w:r>
    </w:p>
    <w:p w:rsidR="002E3CF2" w:rsidRPr="00BA7EA7" w:rsidRDefault="00F34D65" w:rsidP="00BA7EA7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       </w:t>
      </w:r>
    </w:p>
    <w:p w:rsidR="003D25F5" w:rsidRPr="00BA7EA7" w:rsidRDefault="003D25F5" w:rsidP="00BA7EA7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2E3CF2" w:rsidRPr="00BA7EA7" w:rsidRDefault="002E3CF2" w:rsidP="00BA7EA7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9E682C" w:rsidRPr="00BA7EA7" w:rsidRDefault="009E682C" w:rsidP="00BA7EA7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660033"/>
          <w:sz w:val="26"/>
          <w:szCs w:val="26"/>
        </w:rPr>
      </w:pPr>
    </w:p>
    <w:p w:rsidR="00912704" w:rsidRPr="00BA7EA7" w:rsidRDefault="00912704" w:rsidP="00BA7EA7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660033"/>
          <w:sz w:val="28"/>
          <w:szCs w:val="28"/>
        </w:rPr>
      </w:pPr>
      <w:r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>Note d’information</w:t>
      </w:r>
      <w:r w:rsidR="00636E2D"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 xml:space="preserve"> du </w:t>
      </w:r>
      <w:r w:rsidR="00032B79"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>Haut-commissariat</w:t>
      </w:r>
      <w:r w:rsidR="0069792B"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 xml:space="preserve"> au Plan</w:t>
      </w:r>
    </w:p>
    <w:p w:rsidR="00912704" w:rsidRPr="00BA7EA7" w:rsidRDefault="00097300" w:rsidP="00BA7EA7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660033"/>
          <w:sz w:val="28"/>
          <w:szCs w:val="28"/>
        </w:rPr>
      </w:pPr>
      <w:r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>R</w:t>
      </w:r>
      <w:r w:rsidR="00912704"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 xml:space="preserve">ésultats de l’enquête de conjoncture auprès des ménages </w:t>
      </w:r>
    </w:p>
    <w:p w:rsidR="00912704" w:rsidRPr="00BA7EA7" w:rsidRDefault="00E22192" w:rsidP="00BA7EA7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660033"/>
          <w:sz w:val="28"/>
          <w:szCs w:val="28"/>
        </w:rPr>
      </w:pPr>
      <w:r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>Premier trimestre de</w:t>
      </w:r>
      <w:r w:rsidR="00546559"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 xml:space="preserve"> l’année</w:t>
      </w:r>
      <w:r w:rsidR="00636E2D"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 xml:space="preserve"> </w:t>
      </w:r>
      <w:r w:rsidR="00DA1780"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>20</w:t>
      </w:r>
      <w:r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>2</w:t>
      </w:r>
      <w:r w:rsidR="006A6B2C"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>1</w:t>
      </w:r>
    </w:p>
    <w:p w:rsidR="004105E0" w:rsidRPr="00BA7EA7" w:rsidRDefault="004105E0" w:rsidP="00BA7EA7">
      <w:pPr>
        <w:widowControl/>
        <w:spacing w:before="24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F80F35" w:rsidRPr="00BA7EA7" w:rsidRDefault="005E2815" w:rsidP="00A74B79">
      <w:pPr>
        <w:widowControl/>
        <w:spacing w:line="276" w:lineRule="auto"/>
        <w:jc w:val="both"/>
        <w:rPr>
          <w:rFonts w:asciiTheme="majorBidi" w:hAnsiTheme="majorBidi" w:cstheme="majorBidi"/>
          <w:b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 xml:space="preserve">Les </w:t>
      </w:r>
      <w:r w:rsidR="00A45128"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 xml:space="preserve">résultats de l’enquête permanente de conjoncture auprès des ménages, menée par le HCP, </w:t>
      </w:r>
      <w:r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>montrent</w:t>
      </w:r>
      <w:r w:rsidR="002A5928"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 xml:space="preserve"> qu’au </w:t>
      </w:r>
      <w:r w:rsidR="00D55501"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>premier trimestre</w:t>
      </w:r>
      <w:r w:rsidR="002A5928"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 xml:space="preserve"> de 20</w:t>
      </w:r>
      <w:r w:rsidR="00D55501"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>2</w:t>
      </w:r>
      <w:r w:rsidR="006A6B2C"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>1</w:t>
      </w:r>
      <w:r w:rsidR="00761D08"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>,</w:t>
      </w:r>
      <w:r w:rsidR="002A5928"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 xml:space="preserve"> le moral des ménages enregistre une </w:t>
      </w:r>
      <w:r w:rsidR="006A6B2C"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 xml:space="preserve">amélioration </w:t>
      </w:r>
      <w:r w:rsidR="002A5928"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>par rapport au trimestre précédent</w:t>
      </w:r>
      <w:r w:rsidR="00007426"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 xml:space="preserve"> </w:t>
      </w:r>
      <w:r w:rsidR="00A74B79">
        <w:rPr>
          <w:rFonts w:asciiTheme="majorBidi" w:hAnsiTheme="majorBidi" w:cstheme="majorBidi"/>
          <w:b/>
          <w:color w:val="000000" w:themeColor="text1"/>
          <w:sz w:val="26"/>
          <w:szCs w:val="26"/>
        </w:rPr>
        <w:t>et une dégradation par rapport a</w:t>
      </w:r>
      <w:r w:rsidR="002A5928"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>u même trimestre de l’année p</w:t>
      </w:r>
      <w:r w:rsidR="00A74B79">
        <w:rPr>
          <w:rFonts w:asciiTheme="majorBidi" w:hAnsiTheme="majorBidi" w:cstheme="majorBidi"/>
          <w:b/>
          <w:color w:val="000000" w:themeColor="text1"/>
          <w:sz w:val="26"/>
          <w:szCs w:val="26"/>
        </w:rPr>
        <w:t>assée</w:t>
      </w:r>
      <w:r w:rsidR="000A07A7"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 xml:space="preserve">. </w:t>
      </w:r>
    </w:p>
    <w:p w:rsidR="001930B7" w:rsidRPr="00BA7EA7" w:rsidRDefault="001930B7" w:rsidP="00BA7EA7">
      <w:pPr>
        <w:widowControl/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0838BF" w:rsidRPr="00BA7EA7" w:rsidRDefault="00580123" w:rsidP="00BA7EA7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L'indice de confiance des ménages (ICM) s’est ainsi établi à </w:t>
      </w:r>
      <w:r w:rsidR="00F8785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68</w:t>
      </w:r>
      <w:r w:rsidR="000838BF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F8785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3</w:t>
      </w:r>
      <w:r w:rsidR="000838BF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points, au lieu de </w:t>
      </w:r>
      <w:r w:rsidR="004728D6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61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4728D6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 enregistrés le trimestre </w:t>
      </w:r>
      <w:r w:rsidR="000838BF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précédent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et </w:t>
      </w:r>
      <w:r w:rsidR="00735048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7</w:t>
      </w:r>
      <w:r w:rsidR="004728D6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5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4728D6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7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 une année auparavant.</w:t>
      </w:r>
    </w:p>
    <w:p w:rsidR="003E7898" w:rsidRPr="00BA7EA7" w:rsidRDefault="003E7898" w:rsidP="00BA7EA7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686CA3" w:rsidRPr="00BA7EA7" w:rsidRDefault="003E7898" w:rsidP="00CA6DED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Graphique 1 : Evolution de l'indice de confiance des ménages </w:t>
      </w:r>
    </w:p>
    <w:p w:rsidR="009B0DDF" w:rsidRPr="00BA7EA7" w:rsidRDefault="008F271B" w:rsidP="00BA7EA7">
      <w:pPr>
        <w:widowControl/>
        <w:tabs>
          <w:tab w:val="left" w:pos="709"/>
        </w:tabs>
        <w:spacing w:line="276" w:lineRule="auto"/>
        <w:jc w:val="center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noProof/>
          <w:sz w:val="26"/>
          <w:szCs w:val="26"/>
        </w:rPr>
        <w:drawing>
          <wp:inline distT="0" distB="0" distL="0" distR="0">
            <wp:extent cx="6402457" cy="3403159"/>
            <wp:effectExtent l="19050" t="0" r="17393" b="6791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125D5" w:rsidRPr="00BA7EA7" w:rsidRDefault="003E7898" w:rsidP="00BA7EA7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DE4509" w:rsidRPr="00BA7EA7" w:rsidRDefault="00DE4509" w:rsidP="00BA7EA7">
      <w:pPr>
        <w:spacing w:line="276" w:lineRule="auto"/>
        <w:jc w:val="center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8D3806" w:rsidRPr="00BA7EA7" w:rsidRDefault="006F1D72" w:rsidP="00BA7EA7">
      <w:pPr>
        <w:pStyle w:val="Paragraphedeliste"/>
        <w:numPr>
          <w:ilvl w:val="0"/>
          <w:numId w:val="9"/>
        </w:numPr>
        <w:ind w:left="284" w:hanging="284"/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bookmarkStart w:id="1" w:name="_Ref379209308"/>
      <w:r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Evolution des </w:t>
      </w:r>
      <w:r w:rsidR="00860E86"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composantes de</w:t>
      </w:r>
      <w:r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l'ICM</w:t>
      </w:r>
      <w:bookmarkEnd w:id="1"/>
    </w:p>
    <w:p w:rsidR="00C07FB5" w:rsidRPr="00BA7EA7" w:rsidRDefault="00722F6F" w:rsidP="00BA7EA7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L</w:t>
      </w:r>
      <w:r w:rsidR="00560ED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es composantes 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de l’ICM </w:t>
      </w:r>
      <w:r w:rsidR="00560ED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portent sur la perception par les ménages de l’évolution du niveau de vie</w:t>
      </w:r>
      <w:r w:rsidR="005C2ED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560ED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du chômage, de </w:t>
      </w:r>
      <w:r w:rsidR="008F33D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l’opportunité</w:t>
      </w:r>
      <w:r w:rsidR="00560ED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à </w:t>
      </w:r>
      <w:r w:rsidR="008F33D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effectuer des achats de</w:t>
      </w:r>
      <w:r w:rsidR="00560ED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biens</w:t>
      </w:r>
      <w:r w:rsidR="00C07FB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durables et de </w:t>
      </w:r>
      <w:r w:rsidR="00560ED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leur situation financière.</w:t>
      </w:r>
    </w:p>
    <w:p w:rsidR="007B1D47" w:rsidRPr="00BA7EA7" w:rsidRDefault="007B1D47" w:rsidP="00BA7EA7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A71494" w:rsidRPr="00BA7EA7" w:rsidRDefault="004D6730" w:rsidP="00A74B79">
      <w:pPr>
        <w:pStyle w:val="Paragraphedeliste"/>
        <w:numPr>
          <w:ilvl w:val="0"/>
          <w:numId w:val="8"/>
        </w:numPr>
        <w:spacing w:before="240"/>
        <w:ind w:left="0" w:hanging="142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fr-FR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="00CA6DED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S</w:t>
      </w:r>
      <w:r w:rsidR="006E7EE4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entiment d’une dégradation</w:t>
      </w:r>
      <w:r w:rsidR="00A74B79" w:rsidRPr="00A74B79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="00A74B79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et attente d’une amélioration </w:t>
      </w:r>
      <w:r w:rsidR="00305983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du n</w:t>
      </w:r>
      <w:r w:rsidR="00305983"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iveau de vie</w:t>
      </w:r>
      <w:r w:rsidR="00A74B79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selon les perceptions des ménages</w:t>
      </w:r>
      <w:r w:rsidR="00305983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</w:p>
    <w:p w:rsidR="00A71494" w:rsidRPr="00BA7EA7" w:rsidRDefault="00A71494" w:rsidP="00BA7EA7">
      <w:pPr>
        <w:pStyle w:val="Paragraphedeliste"/>
        <w:spacing w:before="240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6"/>
          <w:szCs w:val="26"/>
          <w:rtl/>
          <w:lang w:eastAsia="fr-FR"/>
        </w:rPr>
      </w:pPr>
    </w:p>
    <w:p w:rsidR="00164979" w:rsidRPr="00BA7EA7" w:rsidRDefault="00580123" w:rsidP="00BA7EA7">
      <w:pPr>
        <w:pStyle w:val="Paragraphedeliste"/>
        <w:spacing w:before="240"/>
        <w:ind w:left="0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Au </w:t>
      </w:r>
      <w:r w:rsidR="00D5550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premier trimestre</w:t>
      </w:r>
      <w:r w:rsidR="00007426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0736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de</w:t>
      </w:r>
      <w:r w:rsidR="00DA178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20</w:t>
      </w:r>
      <w:r w:rsidR="00E061AE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="005802BF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1</w:t>
      </w: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, </w:t>
      </w:r>
      <w:r w:rsidR="00252BB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64</w:t>
      </w: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,</w:t>
      </w:r>
      <w:r w:rsidR="00252BB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8</w:t>
      </w: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% des ménages déclarent une dégradation du niveau de vie au cours des 12 derniers mois, </w:t>
      </w:r>
      <w:r w:rsidR="00252BB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20</w:t>
      </w:r>
      <w:r w:rsidR="00DA786A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,</w:t>
      </w:r>
      <w:r w:rsidR="0032690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9</w:t>
      </w: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% un maintien au même niveau et </w:t>
      </w:r>
      <w:r w:rsidR="00252BB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14</w:t>
      </w:r>
      <w:r w:rsidR="00DA786A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,</w:t>
      </w:r>
      <w:r w:rsidR="0032690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3</w:t>
      </w: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% une amélioration. Le solde d’opinion sur l’évolution passée du niveau de vie 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est resté négatif, à moins </w:t>
      </w:r>
      <w:r w:rsidR="007A24B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50</w:t>
      </w:r>
      <w:r w:rsidR="00CD5F53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7A24B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5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</w:t>
      </w:r>
      <w:r w:rsidR="00CD5F53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contre moins </w:t>
      </w:r>
      <w:r w:rsidR="000E0128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46,6</w:t>
      </w:r>
      <w:r w:rsidR="00CD5F53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 </w:t>
      </w:r>
      <w:r w:rsidR="00A74B79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au trimestre</w:t>
      </w:r>
      <w:r w:rsidR="00CD5F53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E061AE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précédent</w:t>
      </w:r>
      <w:r w:rsidR="00CD5F53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A74B79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et moins</w:t>
      </w:r>
      <w:r w:rsidR="00CD5F53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901E1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1</w:t>
      </w:r>
      <w:r w:rsidR="000E0128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9</w:t>
      </w:r>
      <w:r w:rsidR="00CD5F53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0E0128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8</w:t>
      </w:r>
      <w:r w:rsidR="00CD5F53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 au même trimestre de l’année passée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.</w:t>
      </w:r>
    </w:p>
    <w:p w:rsidR="00580123" w:rsidRPr="00BA7EA7" w:rsidRDefault="00580123" w:rsidP="00BA7EA7">
      <w:pPr>
        <w:pStyle w:val="Paragraphedeliste"/>
        <w:spacing w:before="240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</w:pPr>
    </w:p>
    <w:p w:rsidR="009A3BC1" w:rsidRPr="00BA7EA7" w:rsidRDefault="00580123" w:rsidP="00BA7EA7">
      <w:pPr>
        <w:pStyle w:val="Paragraphedeliste"/>
        <w:spacing w:before="240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</w:pP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Au cours des 12 prochains mois, </w:t>
      </w:r>
      <w:r w:rsidR="00901E11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2</w:t>
      </w:r>
      <w:r w:rsidR="00C43C9E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6</w:t>
      </w:r>
      <w:r w:rsidR="00DA786A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,</w:t>
      </w:r>
      <w:r w:rsidR="00C43C9E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0</w:t>
      </w: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% des ménages s’attendent à une dégradation du niveau de vie, </w:t>
      </w:r>
      <w:r w:rsidR="00313C10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34</w:t>
      </w:r>
      <w:r w:rsidR="00DA786A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,</w:t>
      </w:r>
      <w:r w:rsidR="00313C10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8</w:t>
      </w:r>
      <w:r w:rsidR="000F2E6E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% à un maintien au même nive</w:t>
      </w: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au et </w:t>
      </w:r>
      <w:r w:rsidR="00313C10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39</w:t>
      </w:r>
      <w:r w:rsidR="00E061AE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,</w:t>
      </w:r>
      <w:r w:rsidR="00313C10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2</w:t>
      </w: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% à une amélioration. Le solde d’opinion relatif à cet indicateur</w:t>
      </w:r>
      <w:r w:rsidR="0032690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EE43E3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s’établit à</w:t>
      </w:r>
      <w:r w:rsidR="0032690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EE43E3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13,2 points</w:t>
      </w:r>
      <w:r w:rsidR="0032690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en</w:t>
      </w:r>
      <w:r w:rsidR="00313C10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amélioration</w:t>
      </w:r>
      <w:r w:rsidR="0016497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aussi bien par rapport au trimestre </w:t>
      </w:r>
      <w:r w:rsidR="000F2E6E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précédent</w:t>
      </w:r>
      <w:r w:rsidR="0016497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que par rapport </w:t>
      </w:r>
      <w:r w:rsidR="0082003B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au même trimestre de l’année précédente</w:t>
      </w:r>
      <w:r w:rsidR="0016497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où il </w:t>
      </w:r>
      <w:r w:rsidR="00427977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était à</w:t>
      </w:r>
      <w:r w:rsidR="0016497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moins </w:t>
      </w:r>
      <w:r w:rsidR="00313C10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17</w:t>
      </w:r>
      <w:r w:rsidR="00901E11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,</w:t>
      </w:r>
      <w:r w:rsidR="00313C10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4</w:t>
      </w: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points et </w:t>
      </w:r>
      <w:r w:rsidR="00427977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à</w:t>
      </w:r>
      <w:r w:rsidR="00313C10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moins</w:t>
      </w:r>
      <w:r w:rsidR="0032690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313C10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4,6</w:t>
      </w: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points </w:t>
      </w:r>
      <w:r w:rsidR="0016497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respectivement. </w:t>
      </w:r>
    </w:p>
    <w:p w:rsidR="003E7898" w:rsidRPr="00BA7EA7" w:rsidRDefault="003E7898" w:rsidP="00BA7EA7">
      <w:pPr>
        <w:spacing w:before="24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Graphique 2 : Perception par les ménages de l'évolution passée et future du niveau de vie (soldes d'opinions) </w:t>
      </w:r>
    </w:p>
    <w:p w:rsidR="00FE6357" w:rsidRPr="00BA7EA7" w:rsidRDefault="00345C8E" w:rsidP="00BA7EA7">
      <w:pPr>
        <w:widowControl/>
        <w:spacing w:line="276" w:lineRule="auto"/>
        <w:ind w:left="-426"/>
        <w:jc w:val="center"/>
        <w:rPr>
          <w:rFonts w:asciiTheme="majorBidi" w:hAnsiTheme="majorBidi" w:cstheme="majorBidi"/>
          <w:color w:val="000000" w:themeColor="text1"/>
          <w:sz w:val="26"/>
          <w:szCs w:val="26"/>
          <w:rtl/>
          <w:lang w:bidi="ar-MA"/>
        </w:rPr>
      </w:pPr>
      <w:r w:rsidRPr="00BA7EA7">
        <w:rPr>
          <w:rFonts w:asciiTheme="majorBidi" w:hAnsiTheme="majorBidi" w:cstheme="majorBidi"/>
          <w:noProof/>
          <w:sz w:val="26"/>
          <w:szCs w:val="26"/>
        </w:rPr>
        <w:drawing>
          <wp:inline distT="0" distB="0" distL="0" distR="0">
            <wp:extent cx="6084101" cy="3570136"/>
            <wp:effectExtent l="19050" t="0" r="11899" b="0"/>
            <wp:docPr id="3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E7898" w:rsidRPr="00BA7EA7" w:rsidRDefault="003E7898" w:rsidP="00BA7EA7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EC2700" w:rsidRPr="00BA7EA7" w:rsidRDefault="00A33336" w:rsidP="00CA6DED">
      <w:pPr>
        <w:pStyle w:val="Paragraphedeliste"/>
        <w:numPr>
          <w:ilvl w:val="0"/>
          <w:numId w:val="8"/>
        </w:numPr>
        <w:spacing w:before="240"/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Evolution du chômage :</w:t>
      </w:r>
      <w:r w:rsidR="00CA6DED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perceptions moins négatives</w:t>
      </w:r>
    </w:p>
    <w:p w:rsidR="00164979" w:rsidRPr="00BA7EA7" w:rsidRDefault="00580123" w:rsidP="00BA7EA7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</w:t>
      </w:r>
      <w:r w:rsidR="00D5550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premier trimestre</w:t>
      </w:r>
      <w:r w:rsidR="00161D6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0736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de</w:t>
      </w:r>
      <w:r w:rsidR="00DA178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20</w:t>
      </w:r>
      <w:r w:rsidR="00357B7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="000B206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1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</w:t>
      </w:r>
      <w:r w:rsidR="00C142A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7</w:t>
      </w:r>
      <w:r w:rsidR="000B206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6</w:t>
      </w:r>
      <w:r w:rsidR="00C142A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0B206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1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% contre </w:t>
      </w:r>
      <w:r w:rsidR="0005046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13</w:t>
      </w:r>
      <w:r w:rsidR="00E1340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05046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9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% des ménages s’attendent à une hausse du chômage au cours des 12 prochains mois. Le solde d’opinion est resté ainsi négatif à moins </w:t>
      </w:r>
      <w:r w:rsidR="0005046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62</w:t>
      </w:r>
      <w:r w:rsidR="00E1340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05046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</w:t>
      </w:r>
      <w:r w:rsidR="00C142A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contre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moins </w:t>
      </w:r>
      <w:r w:rsidR="00525DF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7</w:t>
      </w:r>
      <w:r w:rsidR="00C46F5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8</w:t>
      </w:r>
      <w:r w:rsidR="00E1340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C46F5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3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 </w:t>
      </w:r>
      <w:r w:rsidR="00C142A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un trimestre auparavant et moins </w:t>
      </w:r>
      <w:r w:rsidR="0046410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7</w:t>
      </w:r>
      <w:r w:rsidR="00C46F5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0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C46F5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8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</w:t>
      </w:r>
      <w:r w:rsidR="00C142A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un an auparavant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.</w:t>
      </w:r>
    </w:p>
    <w:p w:rsidR="00BA3B9E" w:rsidRPr="00BA7EA7" w:rsidRDefault="00161D6D" w:rsidP="00A74B79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lastRenderedPageBreak/>
        <w:t>Graphique 3 : Perception par les ménages de l'évolution du nombre de chômeurs (soldes d'opinions)</w:t>
      </w:r>
    </w:p>
    <w:p w:rsidR="00184134" w:rsidRPr="00BA7EA7" w:rsidRDefault="00B13D51" w:rsidP="00BA7EA7">
      <w:pPr>
        <w:widowControl/>
        <w:tabs>
          <w:tab w:val="left" w:pos="709"/>
        </w:tabs>
        <w:spacing w:line="276" w:lineRule="auto"/>
        <w:jc w:val="center"/>
        <w:rPr>
          <w:rFonts w:asciiTheme="majorBidi" w:hAnsiTheme="majorBidi" w:cstheme="majorBidi"/>
          <w:noProof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noProof/>
          <w:sz w:val="26"/>
          <w:szCs w:val="26"/>
        </w:rPr>
        <w:drawing>
          <wp:inline distT="0" distB="0" distL="0" distR="0">
            <wp:extent cx="6042992" cy="3299791"/>
            <wp:effectExtent l="19050" t="0" r="14908" b="0"/>
            <wp:docPr id="5" name="Graphique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E7898" w:rsidRPr="00BA7EA7" w:rsidRDefault="003E7898" w:rsidP="00BA7EA7">
      <w:pPr>
        <w:pStyle w:val="Paragraphedeliste"/>
        <w:tabs>
          <w:tab w:val="left" w:pos="709"/>
        </w:tabs>
        <w:ind w:left="360"/>
        <w:rPr>
          <w:rFonts w:asciiTheme="majorBidi" w:hAnsiTheme="majorBidi" w:cstheme="majorBidi"/>
          <w:b/>
          <w:bCs/>
          <w:color w:val="000000" w:themeColor="text1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</w:rPr>
        <w:t>Source : HCP, Enquête permanente de conjoncture auprès des ménages</w:t>
      </w:r>
    </w:p>
    <w:p w:rsidR="003E7898" w:rsidRPr="00BA7EA7" w:rsidRDefault="003E7898" w:rsidP="00BA7EA7">
      <w:pPr>
        <w:pStyle w:val="Paragraphedeliste"/>
        <w:tabs>
          <w:tab w:val="left" w:pos="709"/>
        </w:tabs>
        <w:ind w:left="360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E01FA1" w:rsidRPr="00BA7EA7" w:rsidRDefault="00A33336" w:rsidP="00BA7EA7">
      <w:pPr>
        <w:pStyle w:val="Paragraphedeliste"/>
        <w:numPr>
          <w:ilvl w:val="0"/>
          <w:numId w:val="8"/>
        </w:numPr>
        <w:tabs>
          <w:tab w:val="left" w:pos="709"/>
        </w:tabs>
        <w:spacing w:before="240"/>
        <w:ind w:left="284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BA7EA7">
        <w:rPr>
          <w:rFonts w:asciiTheme="majorBidi" w:hAnsiTheme="majorBidi" w:cstheme="majorBidi"/>
          <w:b/>
          <w:bCs/>
          <w:color w:val="000000"/>
          <w:sz w:val="28"/>
          <w:szCs w:val="28"/>
        </w:rPr>
        <w:t>Une c</w:t>
      </w:r>
      <w:r w:rsidR="003541C4" w:rsidRPr="00BA7EA7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onjoncture </w:t>
      </w:r>
      <w:r w:rsidR="00051A04" w:rsidRPr="00BA7EA7">
        <w:rPr>
          <w:rFonts w:asciiTheme="majorBidi" w:eastAsia="Times New Roman" w:hAnsiTheme="majorBidi" w:cstheme="majorBidi"/>
          <w:b/>
          <w:bCs/>
          <w:sz w:val="28"/>
          <w:szCs w:val="28"/>
          <w:lang w:eastAsia="fr-FR"/>
        </w:rPr>
        <w:t xml:space="preserve">perçue comme peu favorable à </w:t>
      </w:r>
      <w:r w:rsidR="00051A04" w:rsidRPr="00BA7EA7">
        <w:rPr>
          <w:rFonts w:asciiTheme="majorBidi" w:hAnsiTheme="majorBidi" w:cstheme="majorBidi"/>
          <w:b/>
          <w:bCs/>
          <w:color w:val="000000"/>
          <w:sz w:val="28"/>
          <w:szCs w:val="28"/>
        </w:rPr>
        <w:t>l</w:t>
      </w:r>
      <w:r w:rsidR="00051A04" w:rsidRPr="00BA7EA7">
        <w:rPr>
          <w:rFonts w:asciiTheme="majorBidi" w:eastAsia="Times New Roman" w:hAnsiTheme="majorBidi" w:cstheme="majorBidi"/>
          <w:b/>
          <w:bCs/>
          <w:sz w:val="28"/>
          <w:szCs w:val="28"/>
          <w:lang w:eastAsia="fr-FR"/>
        </w:rPr>
        <w:t>’achat des biens durables </w:t>
      </w:r>
    </w:p>
    <w:p w:rsidR="00357B74" w:rsidRPr="00BA7EA7" w:rsidRDefault="00580123" w:rsidP="00BA7EA7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</w:t>
      </w:r>
      <w:r w:rsidR="00D5550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premier trimestre</w:t>
      </w:r>
      <w:r w:rsidR="00161D6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0736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de</w:t>
      </w:r>
      <w:r w:rsidR="00DA178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20</w:t>
      </w:r>
      <w:r w:rsidR="00357B7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="0017200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1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</w:t>
      </w:r>
      <w:r w:rsidR="0017200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73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926B6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% contre </w:t>
      </w:r>
      <w:r w:rsidR="0017200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11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17200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7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% des ménages considèrent que le moment n’est pas opportun pour effectuer des achats de biens durables. </w:t>
      </w:r>
      <w:r w:rsidR="00AF3E9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L</w:t>
      </w:r>
      <w:r w:rsidR="007933D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e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solde d’opinion </w:t>
      </w:r>
      <w:r w:rsidR="00AF3E9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de 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cet indicateur est resté négatif</w:t>
      </w:r>
      <w:r w:rsidR="001E537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avec moins 61,</w:t>
      </w:r>
      <w:r w:rsidR="00161D6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5 points </w:t>
      </w:r>
      <w:r w:rsidR="00A74B79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contre moins</w:t>
      </w:r>
      <w:r w:rsidR="00161D6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61,2 points </w:t>
      </w:r>
      <w:r w:rsidR="001E537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trimestre précédent </w:t>
      </w:r>
      <w:r w:rsidR="00161D6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et moins 32,6 points </w:t>
      </w:r>
      <w:r w:rsidR="001E537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au même trimestre de l’année précédente</w:t>
      </w:r>
      <w:r w:rsidR="00161D6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.</w:t>
      </w:r>
      <w:r w:rsidR="00DA60E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</w:p>
    <w:p w:rsidR="00D326DA" w:rsidRPr="00BA7EA7" w:rsidRDefault="00D326DA" w:rsidP="00BA7EA7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noProof/>
          <w:color w:val="000000" w:themeColor="text1"/>
          <w:sz w:val="26"/>
          <w:szCs w:val="26"/>
        </w:rPr>
      </w:pPr>
    </w:p>
    <w:p w:rsidR="00161D6D" w:rsidRPr="00BA7EA7" w:rsidRDefault="00161D6D" w:rsidP="00BA7EA7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Graphique 4 : Perception par les ménages de l'opportunité d'achat des biens </w:t>
      </w:r>
      <w:r w:rsidR="00A74B79"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durables (</w:t>
      </w: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soldes d'opinions)</w:t>
      </w:r>
    </w:p>
    <w:p w:rsidR="00D326DA" w:rsidRPr="00BA7EA7" w:rsidRDefault="00BB3BBC" w:rsidP="00BA7EA7">
      <w:pPr>
        <w:widowControl/>
        <w:tabs>
          <w:tab w:val="left" w:pos="709"/>
        </w:tabs>
        <w:spacing w:line="276" w:lineRule="auto"/>
        <w:jc w:val="center"/>
        <w:rPr>
          <w:rFonts w:asciiTheme="majorBidi" w:hAnsiTheme="majorBidi" w:cstheme="majorBidi"/>
          <w:noProof/>
          <w:color w:val="000000" w:themeColor="text1"/>
          <w:sz w:val="26"/>
          <w:szCs w:val="26"/>
          <w:lang w:val="fr-MA"/>
        </w:rPr>
      </w:pPr>
      <w:r w:rsidRPr="00BA7EA7">
        <w:rPr>
          <w:rFonts w:asciiTheme="majorBidi" w:hAnsiTheme="majorBidi" w:cstheme="majorBidi"/>
          <w:noProof/>
          <w:sz w:val="26"/>
          <w:szCs w:val="26"/>
        </w:rPr>
        <w:drawing>
          <wp:inline distT="0" distB="0" distL="0" distR="0">
            <wp:extent cx="6232608" cy="2751151"/>
            <wp:effectExtent l="19050" t="0" r="15792" b="0"/>
            <wp:docPr id="7" name="Graphique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E7898" w:rsidRPr="00BA7EA7" w:rsidRDefault="00161D6D" w:rsidP="00BA7EA7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 xml:space="preserve">   </w:t>
      </w:r>
      <w:r w:rsidR="003E7898" w:rsidRPr="00BA7EA7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9B3682" w:rsidRPr="00CA6DED" w:rsidRDefault="00CA6DED" w:rsidP="004665E2">
      <w:pPr>
        <w:pStyle w:val="Paragraphedeliste"/>
        <w:numPr>
          <w:ilvl w:val="0"/>
          <w:numId w:val="8"/>
        </w:numPr>
        <w:tabs>
          <w:tab w:val="left" w:pos="709"/>
        </w:tabs>
        <w:spacing w:before="240"/>
        <w:ind w:left="284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CA6DED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lastRenderedPageBreak/>
        <w:t>Les ménages pré</w:t>
      </w:r>
      <w:r w:rsidR="004665E2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voient</w:t>
      </w:r>
      <w:r w:rsidRPr="00CA6DED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une amélioration de leur s</w:t>
      </w:r>
      <w:r w:rsidR="00EC2700" w:rsidRPr="00CA6DED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ituation financière </w:t>
      </w:r>
    </w:p>
    <w:p w:rsidR="00CA6DED" w:rsidRPr="00CA6DED" w:rsidRDefault="00CA6DED" w:rsidP="00CA6DED">
      <w:pPr>
        <w:pStyle w:val="Paragraphedeliste"/>
        <w:tabs>
          <w:tab w:val="left" w:pos="709"/>
        </w:tabs>
        <w:spacing w:before="240"/>
        <w:ind w:left="284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8C7E44" w:rsidRPr="00BA7EA7" w:rsidRDefault="00516548" w:rsidP="00AD0F13">
      <w:pPr>
        <w:pStyle w:val="Paragraphedeliste"/>
        <w:spacing w:before="240"/>
        <w:ind w:left="0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</w:t>
      </w:r>
      <w:r w:rsidR="00D5550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premier trimestre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0736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de</w:t>
      </w:r>
      <w:r w:rsidR="00DA178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20</w:t>
      </w:r>
      <w:r w:rsidR="0005351F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="004B3E3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1</w:t>
      </w:r>
      <w:r w:rsidR="00E03B6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</w:t>
      </w:r>
      <w:r w:rsidR="004B3E3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55</w:t>
      </w:r>
      <w:r w:rsidR="006F045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AD0F13">
        <w:rPr>
          <w:rFonts w:asciiTheme="majorBidi" w:hAnsiTheme="majorBidi" w:cstheme="majorBidi" w:hint="cs"/>
          <w:color w:val="000000" w:themeColor="text1"/>
          <w:sz w:val="26"/>
          <w:szCs w:val="26"/>
          <w:rtl/>
        </w:rPr>
        <w:t>8</w:t>
      </w:r>
      <w:r w:rsidR="00E03B6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% des ménages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E03B6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estiment que leurs revenus couvrent leurs dépenses, </w:t>
      </w:r>
      <w:r w:rsidR="000F641A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3</w:t>
      </w:r>
      <w:r w:rsidR="004B3E3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9</w:t>
      </w:r>
      <w:r w:rsidR="00065DD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4B3E3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3</w:t>
      </w:r>
      <w:r w:rsidR="00E03B6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% déclarent s’endetter ou puiser dans leur épargne et </w:t>
      </w:r>
      <w:r w:rsidR="00AD0F13">
        <w:rPr>
          <w:rFonts w:asciiTheme="majorBidi" w:hAnsiTheme="majorBidi" w:cstheme="majorBidi" w:hint="cs"/>
          <w:color w:val="000000" w:themeColor="text1"/>
          <w:sz w:val="26"/>
          <w:szCs w:val="26"/>
          <w:rtl/>
        </w:rPr>
        <w:t>4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AD0F13">
        <w:rPr>
          <w:rFonts w:asciiTheme="majorBidi" w:hAnsiTheme="majorBidi" w:cstheme="majorBidi" w:hint="cs"/>
          <w:color w:val="000000" w:themeColor="text1"/>
          <w:sz w:val="26"/>
          <w:szCs w:val="26"/>
          <w:rtl/>
        </w:rPr>
        <w:t>9</w:t>
      </w:r>
      <w:r w:rsidR="00E03B6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% affirment épargner une partie de leur revenu.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E03B6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Le solde d’opinion </w:t>
      </w:r>
      <w:r w:rsidR="007A29D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relatif à</w:t>
      </w:r>
      <w:r w:rsidR="00E03B6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la situation financière actuelle des ménages est resté ainsi négatif, à moins </w:t>
      </w:r>
      <w:r w:rsidR="004B3E3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34</w:t>
      </w:r>
      <w:r w:rsidR="008A2B76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4B3E3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4</w:t>
      </w:r>
      <w:r w:rsidR="00E03B6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D90C0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contre </w:t>
      </w:r>
      <w:r w:rsidR="00A5425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moins </w:t>
      </w:r>
      <w:r w:rsidR="008A2B76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="004B3E3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9</w:t>
      </w:r>
      <w:r w:rsidR="008A2B76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4B3E3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1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5B09C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points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A5425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le trimestre </w:t>
      </w:r>
      <w:r w:rsidR="0005351F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précédent</w:t>
      </w:r>
      <w:r w:rsidR="00A5425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et moins </w:t>
      </w:r>
      <w:r w:rsidR="008A2B76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="004B3E3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7</w:t>
      </w:r>
      <w:r w:rsidR="00A5425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4B3E3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7</w:t>
      </w:r>
      <w:r w:rsidR="005B09C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A5425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une année auparavant.</w:t>
      </w:r>
    </w:p>
    <w:p w:rsidR="00BA7EA7" w:rsidRPr="00BA7EA7" w:rsidRDefault="00035053" w:rsidP="00BA7EA7">
      <w:pPr>
        <w:pStyle w:val="Paragraphedeliste"/>
        <w:spacing w:before="240"/>
        <w:ind w:left="0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Quant à</w:t>
      </w:r>
      <w:r w:rsidR="002B7C1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l’évolution de</w:t>
      </w:r>
      <w:r w:rsidR="00F45C7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leur </w:t>
      </w:r>
      <w:r w:rsidR="0016780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situation financière</w:t>
      </w:r>
      <w:r w:rsidR="00F45C7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au cours des 12 derniers mois</w:t>
      </w:r>
      <w:r w:rsidR="0016780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54,4</w:t>
      </w:r>
      <w:r w:rsidR="00540BE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="005D3956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contre </w:t>
      </w:r>
      <w:r w:rsidR="001A292A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7</w:t>
      </w:r>
      <w:r w:rsidR="006F045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1A292A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0</w:t>
      </w:r>
      <w:r w:rsidR="005D3956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16780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des ménages considèrent qu’elle </w:t>
      </w:r>
      <w:r w:rsidR="00540BE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s’est dégradée</w:t>
      </w:r>
      <w:r w:rsidR="0016780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. Cette perception reste </w:t>
      </w:r>
      <w:r w:rsidR="00F45C7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ainsi </w:t>
      </w:r>
      <w:r w:rsidR="0016780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négative, </w:t>
      </w:r>
      <w:r w:rsidR="00F45C7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avec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F45C7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un solde d’opinion de </w:t>
      </w:r>
      <w:r w:rsidR="006617C3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moins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1A292A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47</w:t>
      </w:r>
      <w:r w:rsidR="008A2B76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1A292A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4</w:t>
      </w:r>
      <w:r w:rsidR="006617C3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BE624F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contre </w:t>
      </w:r>
      <w:r w:rsidR="005B09C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moins </w:t>
      </w:r>
      <w:r w:rsidR="001A292A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39</w:t>
      </w:r>
      <w:r w:rsidR="00BE624F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1A292A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9</w:t>
      </w:r>
      <w:r w:rsidR="005B09C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 </w:t>
      </w:r>
      <w:r w:rsidR="001143FE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</w:t>
      </w:r>
      <w:r w:rsidR="00BE624F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trimestre précèdent et moins 2</w:t>
      </w:r>
      <w:r w:rsidR="001A292A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="00BE624F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1A292A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9</w:t>
      </w:r>
      <w:r w:rsidR="00BE624F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 au </w:t>
      </w:r>
      <w:r w:rsidR="001143FE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même trimestre de l’année précédente</w:t>
      </w:r>
      <w:r w:rsidR="00BE624F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. </w:t>
      </w:r>
    </w:p>
    <w:p w:rsidR="001A4A45" w:rsidRPr="00BA7EA7" w:rsidRDefault="00491FB6" w:rsidP="00AD0F13">
      <w:pPr>
        <w:pStyle w:val="Paragraphedeliste"/>
        <w:spacing w:before="240"/>
        <w:ind w:left="0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S’agissant </w:t>
      </w:r>
      <w:r w:rsidR="00B5676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de l’évolution</w:t>
      </w:r>
      <w:r w:rsidR="0037589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</w:t>
      </w:r>
      <w:r w:rsidR="00375898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au cours des 12 prochains mois</w:t>
      </w:r>
      <w:r w:rsidR="0037589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</w:t>
      </w:r>
      <w:r w:rsidR="00D41CA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de leur situation financière</w:t>
      </w:r>
      <w:r w:rsidR="00B5676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013329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35</w:t>
      </w:r>
      <w:r w:rsidR="008A2B76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013329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1</w:t>
      </w:r>
      <w:r w:rsidR="00F45C72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37589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des </w:t>
      </w:r>
      <w:r w:rsidR="00375898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ménages s’attendent à </w:t>
      </w:r>
      <w:r w:rsidR="00375898">
        <w:rPr>
          <w:rFonts w:asciiTheme="majorBidi" w:hAnsiTheme="majorBidi" w:cstheme="majorBidi"/>
          <w:color w:val="000000" w:themeColor="text1"/>
          <w:sz w:val="26"/>
          <w:szCs w:val="26"/>
        </w:rPr>
        <w:t>son</w:t>
      </w:r>
      <w:r w:rsidR="00375898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amélioration</w:t>
      </w:r>
      <w:r w:rsidR="0037589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</w:t>
      </w:r>
      <w:r w:rsidR="006F0457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1</w:t>
      </w:r>
      <w:r w:rsidR="00013329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3</w:t>
      </w:r>
      <w:r w:rsidR="006F0457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013329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8</w:t>
      </w:r>
      <w:r w:rsidR="005D3956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37589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à sa dégradation </w:t>
      </w:r>
      <w:r w:rsidR="00A74B79">
        <w:rPr>
          <w:rFonts w:asciiTheme="majorBidi" w:hAnsiTheme="majorBidi" w:cstheme="majorBidi"/>
          <w:color w:val="000000" w:themeColor="text1"/>
          <w:sz w:val="26"/>
          <w:szCs w:val="26"/>
        </w:rPr>
        <w:t>et 51,1</w:t>
      </w:r>
      <w:r w:rsidR="00BA7EA7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% à son</w:t>
      </w:r>
      <w:r w:rsidR="00BA7EA7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maintien au même niveau</w:t>
      </w:r>
      <w:r w:rsidR="00F45C7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. Le solde d’opinion</w:t>
      </w:r>
      <w:r w:rsidR="0037589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A01E0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de cet indicateur </w:t>
      </w:r>
      <w:r w:rsidR="00375898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s’est ainsi établit </w:t>
      </w:r>
      <w:r w:rsidR="00F933F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à</w:t>
      </w:r>
      <w:r w:rsidR="0037589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150681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21</w:t>
      </w:r>
      <w:r w:rsidR="00BE624F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375898">
        <w:rPr>
          <w:rFonts w:asciiTheme="majorBidi" w:hAnsiTheme="majorBidi" w:cstheme="majorBidi"/>
          <w:color w:val="000000" w:themeColor="text1"/>
          <w:sz w:val="26"/>
          <w:szCs w:val="26"/>
        </w:rPr>
        <w:t>3</w:t>
      </w:r>
      <w:r w:rsidR="00B5676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 </w:t>
      </w:r>
      <w:r w:rsidR="008C7E4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contre</w:t>
      </w:r>
      <w:r w:rsidR="0037589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150681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0</w:t>
      </w:r>
      <w:r w:rsidR="001C14A6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150681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6</w:t>
      </w:r>
      <w:r w:rsidR="0037589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B5676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 un trimestre auparavant et </w:t>
      </w:r>
      <w:r w:rsidR="00150681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8</w:t>
      </w:r>
      <w:r w:rsidR="008A2B76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150681" w:rsidRPr="00375898">
        <w:rPr>
          <w:rFonts w:asciiTheme="majorBidi" w:hAnsiTheme="majorBidi" w:cstheme="majorBidi"/>
          <w:color w:val="000000" w:themeColor="text1"/>
          <w:sz w:val="26"/>
          <w:szCs w:val="26"/>
        </w:rPr>
        <w:t>5</w:t>
      </w:r>
      <w:r w:rsidR="00B5676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</w:t>
      </w:r>
      <w:r w:rsidR="0037589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B5676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un an auparavant.</w:t>
      </w:r>
    </w:p>
    <w:p w:rsidR="001A4A45" w:rsidRPr="00BA7EA7" w:rsidRDefault="001A4A45" w:rsidP="00A74B79">
      <w:pPr>
        <w:tabs>
          <w:tab w:val="left" w:pos="709"/>
        </w:tabs>
        <w:spacing w:line="276" w:lineRule="auto"/>
        <w:jc w:val="both"/>
        <w:rPr>
          <w:rFonts w:asciiTheme="majorBidi" w:eastAsia="Calibri" w:hAnsiTheme="majorBidi" w:cstheme="majorBidi"/>
          <w:color w:val="000000" w:themeColor="text1"/>
          <w:sz w:val="26"/>
          <w:szCs w:val="26"/>
          <w:lang w:eastAsia="en-US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Graphique 5 : Perception par les ménages de leurs situations financières </w:t>
      </w:r>
      <w:r w:rsidR="00A74B79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(</w:t>
      </w: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soldes d'opinions) </w:t>
      </w:r>
    </w:p>
    <w:p w:rsidR="002125D5" w:rsidRPr="00BA7EA7" w:rsidRDefault="00CC555C" w:rsidP="00BA7EA7">
      <w:pPr>
        <w:widowControl/>
        <w:spacing w:before="240" w:line="276" w:lineRule="auto"/>
        <w:jc w:val="center"/>
        <w:rPr>
          <w:rFonts w:asciiTheme="majorBidi" w:hAnsiTheme="majorBidi" w:cstheme="majorBidi"/>
          <w:noProof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noProof/>
          <w:sz w:val="26"/>
          <w:szCs w:val="26"/>
        </w:rPr>
        <w:drawing>
          <wp:inline distT="0" distB="0" distL="0" distR="0">
            <wp:extent cx="6322309" cy="3896139"/>
            <wp:effectExtent l="19050" t="0" r="21341" b="9111"/>
            <wp:docPr id="10" name="Graphique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E7898" w:rsidRPr="00BA7EA7" w:rsidRDefault="003E7898" w:rsidP="00BA7EA7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0151DD" w:rsidRDefault="000151DD" w:rsidP="00BA7EA7">
      <w:pPr>
        <w:widowControl/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BA7EA7" w:rsidRDefault="00BA7EA7" w:rsidP="00BA7EA7">
      <w:pPr>
        <w:widowControl/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BA7EA7" w:rsidRDefault="00BA7EA7" w:rsidP="00BA7EA7">
      <w:pPr>
        <w:widowControl/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250C4C" w:rsidRDefault="00250C4C" w:rsidP="00BA7EA7">
      <w:pPr>
        <w:widowControl/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0E21A1" w:rsidRPr="00BA7EA7" w:rsidRDefault="000E21A1" w:rsidP="00BA7EA7">
      <w:pPr>
        <w:pStyle w:val="Paragraphedeliste"/>
        <w:numPr>
          <w:ilvl w:val="0"/>
          <w:numId w:val="9"/>
        </w:numPr>
        <w:ind w:left="284" w:hanging="284"/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lastRenderedPageBreak/>
        <w:t xml:space="preserve">Evolution d’autres indicateurs </w:t>
      </w:r>
      <w:r w:rsidR="005D5DB2"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trimestriels </w:t>
      </w:r>
      <w:r w:rsidR="00D75C4F"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de la conjoncture</w:t>
      </w:r>
    </w:p>
    <w:p w:rsidR="00345EE0" w:rsidRPr="00BA7EA7" w:rsidRDefault="00D52D57" w:rsidP="00BA7EA7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  <w:rtl/>
          <w:lang w:bidi="ar-MA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L’enquête fournit également des données trimestrielles sur l</w:t>
      </w:r>
      <w:r w:rsidR="001F7D3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 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perception des ménages relatives à d’autres aspects des conditions de vie. Il s’agit en particulier de la </w:t>
      </w:r>
      <w:r w:rsidR="001F7D3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capacité des ménages à épargner et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A74B79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de l’évolution</w:t>
      </w:r>
      <w:r w:rsidR="001F7D3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des prix des produits alimentaires</w:t>
      </w:r>
      <w:r w:rsidR="0071373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. </w:t>
      </w:r>
    </w:p>
    <w:p w:rsidR="00BA7EA7" w:rsidRPr="00BA7EA7" w:rsidRDefault="00BA7EA7" w:rsidP="00BA7EA7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EC2700" w:rsidRPr="00BA7EA7" w:rsidRDefault="00261ED7" w:rsidP="00CA6DED">
      <w:pPr>
        <w:pStyle w:val="Paragraphedeliste"/>
        <w:numPr>
          <w:ilvl w:val="0"/>
          <w:numId w:val="8"/>
        </w:numPr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BA7EA7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Perception </w:t>
      </w:r>
      <w:r w:rsidR="00CA6DED">
        <w:rPr>
          <w:rFonts w:asciiTheme="majorBidi" w:hAnsiTheme="majorBidi" w:cstheme="majorBidi"/>
          <w:b/>
          <w:bCs/>
          <w:color w:val="000000"/>
          <w:sz w:val="28"/>
          <w:szCs w:val="28"/>
        </w:rPr>
        <w:t>moins</w:t>
      </w:r>
      <w:r w:rsidR="004C5924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 w:rsidRPr="00BA7EA7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pessimiste de la capacité future des </w:t>
      </w:r>
      <w:r w:rsidR="00EC2700" w:rsidRPr="00BA7EA7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ménages </w:t>
      </w:r>
      <w:r w:rsidRPr="00BA7EA7">
        <w:rPr>
          <w:rFonts w:asciiTheme="majorBidi" w:hAnsiTheme="majorBidi" w:cstheme="majorBidi"/>
          <w:b/>
          <w:bCs/>
          <w:color w:val="000000"/>
          <w:sz w:val="28"/>
          <w:szCs w:val="28"/>
        </w:rPr>
        <w:t>à épargner</w:t>
      </w:r>
      <w:r w:rsidR="00EC2700" w:rsidRPr="00BA7EA7">
        <w:rPr>
          <w:rFonts w:asciiTheme="majorBidi" w:eastAsia="Times New Roman" w:hAnsiTheme="majorBidi" w:cstheme="majorBidi"/>
          <w:b/>
          <w:bCs/>
          <w:sz w:val="28"/>
          <w:szCs w:val="28"/>
          <w:lang w:eastAsia="fr-FR"/>
        </w:rPr>
        <w:t xml:space="preserve">  </w:t>
      </w:r>
    </w:p>
    <w:p w:rsidR="006821CC" w:rsidRPr="00912930" w:rsidRDefault="00AE5641" w:rsidP="00CA6DED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  <w:rtl/>
          <w:lang w:bidi="ar-MA"/>
        </w:rPr>
      </w:pPr>
      <w:r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</w:t>
      </w:r>
      <w:r w:rsidR="00D55501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premier trimestre</w:t>
      </w:r>
      <w:r w:rsidR="00BF6A79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07360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de</w:t>
      </w:r>
      <w:r w:rsidR="00DA1780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20</w:t>
      </w:r>
      <w:r w:rsidR="00C96AEA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="002B7F41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1</w:t>
      </w:r>
      <w:r w:rsidR="00D72CF7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912930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626FDF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1</w:t>
      </w:r>
      <w:r w:rsidR="002B7F41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9</w:t>
      </w:r>
      <w:r w:rsidR="00626FDF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2B7F41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6</w:t>
      </w:r>
      <w:r w:rsidR="00932455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="00912930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256C03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contre </w:t>
      </w:r>
      <w:r w:rsidR="001D58BD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8</w:t>
      </w:r>
      <w:r w:rsidR="002B7F41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0</w:t>
      </w:r>
      <w:r w:rsidR="00256C03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2B7F41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4</w:t>
      </w:r>
      <w:r w:rsidR="00256C03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="00962AD8">
        <w:rPr>
          <w:rFonts w:asciiTheme="majorBidi" w:hAnsiTheme="majorBidi" w:cstheme="majorBidi" w:hint="cs"/>
          <w:color w:val="000000" w:themeColor="text1"/>
          <w:sz w:val="26"/>
          <w:szCs w:val="26"/>
          <w:rtl/>
        </w:rPr>
        <w:t xml:space="preserve"> </w:t>
      </w:r>
      <w:r w:rsidR="00DE048F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des ménages</w:t>
      </w:r>
      <w:r w:rsidR="00912930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4153FC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s’attendent à </w:t>
      </w:r>
      <w:r w:rsidR="00511C57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épargner au cours des 12 prochains </w:t>
      </w:r>
      <w:r w:rsidR="0005706F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mois</w:t>
      </w:r>
      <w:r w:rsidR="00507FF6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.</w:t>
      </w:r>
      <w:r w:rsidR="004153FC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Le </w:t>
      </w:r>
      <w:r w:rsidR="00EA79FB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solde d’opinion</w:t>
      </w:r>
      <w:r w:rsidR="00B14A37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relatif à cet indicateur </w:t>
      </w:r>
      <w:r w:rsidR="00626FDF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est resté négatif, à moins 6</w:t>
      </w:r>
      <w:r w:rsidR="002B7F41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0</w:t>
      </w:r>
      <w:r w:rsidR="00626FDF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B36B99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8</w:t>
      </w:r>
      <w:r w:rsidR="00626FDF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</w:t>
      </w:r>
      <w:r w:rsidR="00A01B7C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au lieu de</w:t>
      </w:r>
      <w:r w:rsidR="00912930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A01B7C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moins 6</w:t>
      </w:r>
      <w:r w:rsidR="002B7F41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5</w:t>
      </w:r>
      <w:r w:rsidR="005F3BED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2B7F41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8</w:t>
      </w:r>
      <w:r w:rsidR="00A01B7C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 au trimestre </w:t>
      </w:r>
      <w:r w:rsidR="00B36B99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précédent</w:t>
      </w:r>
      <w:r w:rsidR="00A01B7C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CA6DED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et </w:t>
      </w:r>
      <w:r w:rsidR="00912930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au</w:t>
      </w:r>
      <w:r w:rsidR="00EC4A64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A01B7C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même trimestre de l’année passée</w:t>
      </w:r>
      <w:r w:rsidR="00626FDF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.</w:t>
      </w:r>
    </w:p>
    <w:p w:rsidR="00837999" w:rsidRPr="00BA7EA7" w:rsidRDefault="007B2888" w:rsidP="00BC7C39">
      <w:pPr>
        <w:pStyle w:val="Paragraphedeliste"/>
        <w:numPr>
          <w:ilvl w:val="0"/>
          <w:numId w:val="8"/>
        </w:numPr>
        <w:spacing w:before="240"/>
        <w:ind w:left="284"/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Prix</w:t>
      </w:r>
      <w:r w:rsidR="00261ED7"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des produits </w:t>
      </w:r>
      <w:r w:rsidR="00A74B79"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alimentaires</w:t>
      </w:r>
      <w:r w:rsidR="00A74B79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 :</w:t>
      </w:r>
      <w:r w:rsidR="00BC7C39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Attente d’une hausse moins prononcée</w:t>
      </w:r>
    </w:p>
    <w:p w:rsidR="00EA79FB" w:rsidRPr="00BA7EA7" w:rsidRDefault="00CE443B" w:rsidP="008A49DB">
      <w:pPr>
        <w:spacing w:before="24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</w:t>
      </w:r>
      <w:r w:rsidR="00D55501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premier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D55501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trimestre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07360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de</w:t>
      </w:r>
      <w:r w:rsidR="00DA1780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20</w:t>
      </w:r>
      <w:r w:rsidR="00C96AEA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="00EC4A64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1</w:t>
      </w:r>
      <w:r w:rsidR="00985AB3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</w:t>
      </w:r>
      <w:r w:rsidR="001052EC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74</w:t>
      </w:r>
      <w:r w:rsidR="00C96AEA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,9</w:t>
      </w:r>
      <w:r w:rsidR="00563170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42AC3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des ménages</w:t>
      </w:r>
      <w:r w:rsidR="00912930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5F72D8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déclarent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A644C5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que les prix des produits alimentaires ont augmenté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EA013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cours des </w:t>
      </w:r>
      <w:r w:rsidR="00E009EE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12 derniers mois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27BBA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contre 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0,8% seulement qui </w:t>
      </w:r>
      <w:r w:rsidR="005F72D8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ressentent leur</w:t>
      </w:r>
      <w:r w:rsidR="00932455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diminution</w:t>
      </w:r>
      <w:r w:rsidR="00D77F2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. 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Le solde d’opinion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540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est </w:t>
      </w:r>
      <w:r w:rsidR="00807B58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ainsi </w:t>
      </w:r>
      <w:r w:rsidR="004153FC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resté </w:t>
      </w:r>
      <w:r w:rsidR="00540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négatif, 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à moins </w:t>
      </w:r>
      <w:r w:rsidR="001052EC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74</w:t>
      </w:r>
      <w:r w:rsidR="00C96AEA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1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points, après avoir été </w:t>
      </w:r>
      <w:r w:rsidR="00B633E3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de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moins </w:t>
      </w:r>
      <w:r w:rsidR="001052EC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74</w:t>
      </w:r>
      <w:r w:rsidR="00727BBA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1052EC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7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 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un trimestre auparavant 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et </w:t>
      </w:r>
      <w:r w:rsidR="00146EDA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moins </w:t>
      </w:r>
      <w:r w:rsidR="00C96AEA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8</w:t>
      </w:r>
      <w:r w:rsidR="001052EC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="00C96AEA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1052EC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8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points une année auparavant.</w:t>
      </w:r>
    </w:p>
    <w:p w:rsidR="00DF62C2" w:rsidRPr="00BA7EA7" w:rsidRDefault="004153FC" w:rsidP="008A49DB">
      <w:pPr>
        <w:spacing w:before="24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cours des 12 prochains mois, </w:t>
      </w:r>
      <w:r w:rsidR="00B633E3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l</w:t>
      </w:r>
      <w:r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es prix </w:t>
      </w:r>
      <w:r w:rsidR="00B633E3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des produits alimentaires </w:t>
      </w:r>
      <w:r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devraient continuer à augmenter selon </w:t>
      </w:r>
      <w:r w:rsidR="00EC1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64</w:t>
      </w:r>
      <w:r w:rsidR="00C96AEA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EC1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0</w:t>
      </w:r>
      <w:r w:rsidR="00F77135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2A7E5D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des ménages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0A6135" w:rsidRPr="008A49DB">
        <w:rPr>
          <w:rFonts w:asciiTheme="majorBidi" w:hAnsiTheme="majorBidi" w:cstheme="majorBidi"/>
          <w:color w:val="000000" w:themeColor="text1"/>
          <w:sz w:val="26"/>
          <w:szCs w:val="26"/>
          <w:lang w:bidi="ar-DZ"/>
        </w:rPr>
        <w:t>contre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  <w:lang w:bidi="ar-DZ"/>
        </w:rPr>
        <w:t xml:space="preserve"> </w:t>
      </w:r>
      <w:r w:rsidR="00EC1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3</w:t>
      </w:r>
      <w:r w:rsidR="00C96AEA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EC1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9</w:t>
      </w:r>
      <w:r w:rsidR="006E2B29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%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0A6135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seulement qui </w:t>
      </w:r>
      <w:r w:rsidR="006E2B29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s’attendent à leur baisse. </w:t>
      </w:r>
      <w:r w:rsidR="00540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L</w:t>
      </w:r>
      <w:r w:rsidR="00376AC0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 </w:t>
      </w:r>
      <w:r w:rsidR="00EA013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solde d’opinion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2A1529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est </w:t>
      </w:r>
      <w:r w:rsidR="00807B58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ainsi </w:t>
      </w:r>
      <w:r w:rsidR="002A1529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resté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2A1529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négatif, </w:t>
      </w:r>
      <w:r w:rsidR="00580F2D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se situant </w:t>
      </w:r>
      <w:r w:rsidR="002A1529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à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moins </w:t>
      </w:r>
      <w:r w:rsidR="00EC1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60</w:t>
      </w:r>
      <w:r w:rsidR="008A1F00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1</w:t>
      </w:r>
      <w:r w:rsidR="00511BC9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</w:t>
      </w:r>
      <w:r w:rsidR="00F933F4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</w:t>
      </w:r>
      <w:r w:rsidR="00E1790A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au lieu de</w:t>
      </w:r>
      <w:r w:rsidR="00540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moins </w:t>
      </w:r>
      <w:r w:rsidR="00EC1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64</w:t>
      </w:r>
      <w:r w:rsidR="008A1F00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EC1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6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540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points enregistré</w:t>
      </w:r>
      <w:r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s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E1790A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un trimestre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FA52FF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auparavant</w:t>
      </w:r>
      <w:r w:rsidR="00CB5DC1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et moins </w:t>
      </w:r>
      <w:r w:rsidR="008A1F00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8</w:t>
      </w:r>
      <w:r w:rsidR="00EC1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="008A1F00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EC1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6</w:t>
      </w:r>
      <w:r w:rsidR="00CB5DC1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points une année passée</w:t>
      </w:r>
      <w:r w:rsidR="00540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.</w:t>
      </w:r>
    </w:p>
    <w:p w:rsidR="00527651" w:rsidRPr="00BA7EA7" w:rsidRDefault="00912930" w:rsidP="00912930">
      <w:pPr>
        <w:spacing w:before="24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Graphique </w:t>
      </w:r>
      <w:r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6</w:t>
      </w: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 :</w:t>
      </w:r>
      <w:r w:rsidRPr="00912930">
        <w:rPr>
          <w:rFonts w:ascii="Times New Roman" w:hAnsi="Times New Roman" w:cs="Times New Roman"/>
          <w:b/>
          <w:bCs/>
          <w:color w:val="000000"/>
          <w:kern w:val="24"/>
          <w:sz w:val="28"/>
          <w:szCs w:val="28"/>
        </w:rPr>
        <w:t xml:space="preserve"> </w:t>
      </w:r>
      <w:r w:rsidRPr="00912930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Perception par les ménages des évolutions passée et future des prix des produits </w:t>
      </w:r>
      <w:r w:rsidR="00A74B79" w:rsidRPr="00912930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alimentaires (</w:t>
      </w:r>
      <w:r w:rsidRPr="00912930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soldes d'opinions) </w:t>
      </w:r>
    </w:p>
    <w:p w:rsidR="003E7898" w:rsidRPr="00912930" w:rsidRDefault="00012F82" w:rsidP="00912930">
      <w:pPr>
        <w:widowControl/>
        <w:autoSpaceDE/>
        <w:autoSpaceDN/>
        <w:adjustRightInd/>
        <w:spacing w:before="100" w:after="240"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BA7EA7">
        <w:rPr>
          <w:rFonts w:asciiTheme="majorBidi" w:hAnsiTheme="majorBidi" w:cstheme="majorBidi"/>
          <w:noProof/>
          <w:sz w:val="26"/>
          <w:szCs w:val="26"/>
        </w:rPr>
        <w:drawing>
          <wp:inline distT="0" distB="0" distL="0" distR="0">
            <wp:extent cx="6353810" cy="2981739"/>
            <wp:effectExtent l="19050" t="0" r="27940" b="9111"/>
            <wp:docPr id="11" name="Graphique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3E7898" w:rsidRPr="00912930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B67B3D" w:rsidRPr="00BA7EA7" w:rsidRDefault="00B67B3D" w:rsidP="00BA7EA7">
      <w:pPr>
        <w:tabs>
          <w:tab w:val="left" w:pos="9214"/>
        </w:tabs>
        <w:spacing w:line="276" w:lineRule="auto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3A0725" w:rsidRPr="00BA7EA7" w:rsidRDefault="00C72318" w:rsidP="00BA7EA7">
      <w:pPr>
        <w:spacing w:line="276" w:lineRule="auto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lastRenderedPageBreak/>
        <w:t>Ci-</w:t>
      </w:r>
      <w:r w:rsidR="00A74B79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joint les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détails des différents indicateurs et un rappel des principaux concepts.</w:t>
      </w:r>
    </w:p>
    <w:tbl>
      <w:tblPr>
        <w:tblpPr w:leftFromText="141" w:rightFromText="141" w:vertAnchor="text" w:horzAnchor="margin" w:tblpY="289"/>
        <w:tblW w:w="9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10"/>
      </w:tblGrid>
      <w:tr w:rsidR="003A0725" w:rsidRPr="00BA7EA7" w:rsidTr="00287AFB">
        <w:trPr>
          <w:trHeight w:val="8046"/>
        </w:trPr>
        <w:tc>
          <w:tcPr>
            <w:tcW w:w="9910" w:type="dxa"/>
          </w:tcPr>
          <w:p w:rsidR="000013E4" w:rsidRPr="00BA7EA7" w:rsidRDefault="000013E4" w:rsidP="00BA7EA7">
            <w:pPr>
              <w:spacing w:line="276" w:lineRule="auto"/>
              <w:ind w:left="36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  <w:rtl/>
              </w:rPr>
            </w:pPr>
          </w:p>
          <w:p w:rsidR="00C51B7C" w:rsidRPr="00BA7EA7" w:rsidRDefault="00C51B7C" w:rsidP="00BA7EA7">
            <w:pPr>
              <w:spacing w:line="276" w:lineRule="auto"/>
              <w:ind w:left="36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  <w:rtl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Les évolutions des composantes de l’ICM et des autres indicateurs de l’enquête, illustrées dans les graphiques, sont exprimées en termes de soldes d'opinions</w:t>
            </w:r>
          </w:p>
          <w:p w:rsidR="000013E4" w:rsidRPr="00BA7EA7" w:rsidRDefault="000013E4" w:rsidP="00BA7EA7">
            <w:pPr>
              <w:spacing w:line="276" w:lineRule="auto"/>
              <w:ind w:left="36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</w:p>
          <w:p w:rsidR="003A0725" w:rsidRPr="00BA7EA7" w:rsidRDefault="003A0725" w:rsidP="00BA7EA7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br w:type="page"/>
              <w:t xml:space="preserve"> Rappelons</w:t>
            </w:r>
            <w:r w:rsidR="00C51B7C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, par ailleurs</w:t>
            </w:r>
            <w:r w:rsidR="00A74B79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, que</w:t>
            </w: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 :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1"/>
              </w:numPr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les questions abordées sont qualitatives à 3 modalités (amélioratio</w:t>
            </w:r>
            <w:r w:rsidR="00D72CF7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n, stagnation et</w:t>
            </w: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détérioration). </w:t>
            </w:r>
            <w:r w:rsidR="00A74B79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Les évolutions</w:t>
            </w: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se réfèrent à une période de 12 mois. Les résultats sont présentés sous </w:t>
            </w:r>
            <w:r w:rsidR="00A74B79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forme de</w:t>
            </w: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soldes (différence entre les pourcentages des réponses « amélioration » </w:t>
            </w:r>
            <w:r w:rsidR="00A74B79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et des</w:t>
            </w: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réponses «détérioration»). Le niveau des soldes n’est pas directement interprétable, c’est leur évolution qui est analysée. 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1"/>
              </w:numPr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L’Indice de Confiance des Ménages (ICM) est calculé sur la base de sept indicateurs, quatre relatifs à la situation générale et trois à la situation propre du ménage :</w:t>
            </w:r>
          </w:p>
          <w:p w:rsidR="003A0725" w:rsidRPr="00BA7EA7" w:rsidRDefault="00A74B79" w:rsidP="00BA7EA7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évolution passée</w:t>
            </w:r>
            <w:r w:rsidR="003A0725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du niveau de vie ;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perspective d'évolution du niveau de vie ;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perspective d'évolution du nombre de chômeurs ;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opportunité d'achat de biens </w:t>
            </w:r>
            <w:r w:rsidR="00A74B79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durables ;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situation financière actuelle des ménages ;</w:t>
            </w:r>
          </w:p>
          <w:p w:rsidR="003A0725" w:rsidRPr="00BA7EA7" w:rsidRDefault="00A74B79" w:rsidP="00BA7EA7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évolution passée</w:t>
            </w:r>
            <w:r w:rsidR="003A0725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de la situation financière des ménages ;</w:t>
            </w:r>
          </w:p>
          <w:p w:rsidR="003A0725" w:rsidRPr="00BA7EA7" w:rsidRDefault="00A74B79" w:rsidP="00BA7EA7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évolution future</w:t>
            </w:r>
            <w:r w:rsidR="003A0725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de la situation financière des ménages.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L’ICM est </w:t>
            </w:r>
            <w:r w:rsidR="00A74B79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la moyenne</w:t>
            </w: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arithmétique simple </w:t>
            </w:r>
            <w:r w:rsidR="00A74B79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des soldes</w:t>
            </w: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des 7 indicateurs, augmentée de 100, sa valeur varie ainsi de 0 à 200.</w:t>
            </w:r>
          </w:p>
          <w:p w:rsidR="003A0725" w:rsidRPr="00BA7EA7" w:rsidRDefault="003A0725" w:rsidP="00BC7C39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Des tests statistiques de Fisher sur la série de l’indice de confiance des ménages</w:t>
            </w:r>
            <w:r w:rsidR="00B67B3D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durant</w:t>
            </w: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la période allant de 2008 à </w:t>
            </w:r>
            <w:r w:rsidR="00BC7C39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2019</w:t>
            </w: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, ont confirmé l’absence des variations saisonnières stables et mobiles.</w:t>
            </w:r>
          </w:p>
          <w:p w:rsidR="003A0725" w:rsidRPr="00BA7EA7" w:rsidRDefault="003A0725" w:rsidP="00BA7EA7">
            <w:pPr>
              <w:spacing w:line="276" w:lineRule="auto"/>
              <w:ind w:left="360"/>
              <w:jc w:val="both"/>
              <w:rPr>
                <w:rFonts w:asciiTheme="majorBidi" w:hAnsiTheme="majorBidi" w:cstheme="majorBidi"/>
                <w:b/>
                <w:bCs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Pour plus d’informations sur les aspects méthodologiques de cette enquête, consulter le site web du HCP </w:t>
            </w:r>
            <w:r w:rsidR="00A74B79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au </w:t>
            </w:r>
            <w:hyperlink r:id="rId14" w:history="1">
              <w:r w:rsidRPr="00BA7EA7">
                <w:rPr>
                  <w:rStyle w:val="Lienhypertexte"/>
                  <w:rFonts w:asciiTheme="majorBidi" w:hAnsiTheme="majorBidi" w:cstheme="majorBidi"/>
                  <w:color w:val="000000" w:themeColor="text1"/>
                  <w:sz w:val="26"/>
                  <w:szCs w:val="26"/>
                </w:rPr>
                <w:t>www.hcp.ma</w:t>
              </w:r>
            </w:hyperlink>
          </w:p>
        </w:tc>
      </w:tr>
    </w:tbl>
    <w:p w:rsidR="001F5970" w:rsidRPr="00BA7EA7" w:rsidRDefault="001F5970" w:rsidP="00BA7EA7">
      <w:pPr>
        <w:spacing w:line="276" w:lineRule="auto"/>
        <w:rPr>
          <w:rFonts w:asciiTheme="majorBidi" w:hAnsiTheme="majorBidi" w:cstheme="majorBidi"/>
          <w:sz w:val="26"/>
          <w:szCs w:val="26"/>
        </w:rPr>
      </w:pPr>
    </w:p>
    <w:p w:rsidR="001F5970" w:rsidRPr="00BA7EA7" w:rsidRDefault="003B45B1" w:rsidP="00BA7EA7">
      <w:pPr>
        <w:spacing w:line="276" w:lineRule="auto"/>
        <w:ind w:left="-142"/>
        <w:rPr>
          <w:rFonts w:asciiTheme="majorBidi" w:hAnsiTheme="majorBidi" w:cstheme="majorBidi"/>
          <w:b/>
          <w:color w:val="000000" w:themeColor="text1"/>
          <w:sz w:val="26"/>
          <w:szCs w:val="26"/>
        </w:rPr>
        <w:sectPr w:rsidR="001F5970" w:rsidRPr="00BA7EA7" w:rsidSect="005B1014">
          <w:footerReference w:type="default" r:id="rId15"/>
          <w:pgSz w:w="11906" w:h="16838" w:code="9"/>
          <w:pgMar w:top="1134" w:right="720" w:bottom="720" w:left="1077" w:header="709" w:footer="709" w:gutter="0"/>
          <w:cols w:space="708"/>
          <w:docGrid w:linePitch="360"/>
        </w:sectPr>
      </w:pPr>
      <w:r>
        <w:rPr>
          <w:rFonts w:asciiTheme="majorBidi" w:hAnsiTheme="majorBidi" w:cstheme="majorBidi"/>
          <w:b/>
          <w:color w:val="000000" w:themeColor="text1"/>
          <w:sz w:val="26"/>
          <w:szCs w:val="26"/>
        </w:rPr>
        <w:t xml:space="preserve">          </w:t>
      </w:r>
    </w:p>
    <w:p w:rsidR="00FD508C" w:rsidRPr="007450B8" w:rsidRDefault="00F80338" w:rsidP="00250C4C">
      <w:pPr>
        <w:spacing w:line="276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lastRenderedPageBreak/>
        <w:t>Evolution</w:t>
      </w:r>
      <w:r w:rsidR="005D5B33"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de l’I</w:t>
      </w:r>
      <w:r w:rsidR="00C35BF2"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ndice de </w:t>
      </w:r>
      <w:r w:rsidR="005D5B33"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C</w:t>
      </w:r>
      <w:r w:rsidR="00C35BF2"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onfiance des </w:t>
      </w:r>
      <w:r w:rsidR="005D5B33"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M</w:t>
      </w:r>
      <w:r w:rsidR="00C35BF2"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énages (ICM) </w:t>
      </w:r>
      <w:r w:rsidR="005D5B33"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et de ses composantes</w:t>
      </w:r>
      <w:r w:rsidR="00AA6346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  </w:t>
      </w:r>
    </w:p>
    <w:p w:rsidR="00AC4978" w:rsidRPr="00BA7EA7" w:rsidRDefault="00AC4978" w:rsidP="00BA7EA7">
      <w:pPr>
        <w:spacing w:line="276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tbl>
      <w:tblPr>
        <w:tblW w:w="16067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7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</w:tblGrid>
      <w:tr w:rsidR="009323ED" w:rsidRPr="00BA7EA7" w:rsidTr="002671FD">
        <w:trPr>
          <w:trHeight w:val="40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23ED" w:rsidRPr="009323ED" w:rsidRDefault="009323ED" w:rsidP="009323E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bookmarkStart w:id="2" w:name="OLE_LINK1"/>
          </w:p>
          <w:p w:rsidR="009323ED" w:rsidRPr="009323ED" w:rsidRDefault="009323ED" w:rsidP="009323ED">
            <w:pPr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Indice de Confiance des Ménages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T1/15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T2/15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T3/15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T4/15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T1/16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T2/16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T3/16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T4/16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T1/17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T2/17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T3/17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T4/17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T1/18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T2/18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T3/18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T4/18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T1/19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T2/19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T3/19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T4/19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T1/20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T2/20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T3/20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T4/20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23ED" w:rsidRPr="00935CCF" w:rsidRDefault="009323ED" w:rsidP="002671F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T1/21</w:t>
            </w:r>
          </w:p>
        </w:tc>
      </w:tr>
      <w:tr w:rsidR="009323ED" w:rsidRPr="00BA7EA7" w:rsidTr="00305983">
        <w:trPr>
          <w:trHeight w:val="33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23ED" w:rsidRPr="009323E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85,8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85,5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85,9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87,3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87,3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23ED" w:rsidRPr="002671FD" w:rsidRDefault="009323ED" w:rsidP="00BA7EA7">
            <w:pPr>
              <w:widowControl/>
              <w:autoSpaceDE/>
              <w:autoSpaceDN/>
              <w:adjustRightInd/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3ED" w:rsidRPr="002671FD" w:rsidRDefault="009323ED" w:rsidP="00BA7EA7">
            <w:pPr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3ED" w:rsidRPr="002671FD" w:rsidRDefault="009323ED" w:rsidP="00BA7EA7">
            <w:pPr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ED" w:rsidRPr="002671FD" w:rsidRDefault="009323ED" w:rsidP="00BA7EA7">
            <w:pPr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ED" w:rsidRPr="002671FD" w:rsidRDefault="009323ED" w:rsidP="00BA7EA7">
            <w:pPr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3ED" w:rsidRPr="002671FD" w:rsidRDefault="009323ED" w:rsidP="00BA7EA7">
            <w:pPr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3ED" w:rsidRPr="002671FD" w:rsidRDefault="009323ED" w:rsidP="00BA7EA7">
            <w:pPr>
              <w:spacing w:before="240" w:line="276" w:lineRule="auto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65,6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3ED" w:rsidRPr="002671FD" w:rsidRDefault="009323ED" w:rsidP="00BA7EA7">
            <w:pPr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60 ,6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3ED" w:rsidRPr="002671FD" w:rsidRDefault="009323ED" w:rsidP="00BA7EA7">
            <w:pPr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61,2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3ED" w:rsidRPr="002671FD" w:rsidRDefault="009323ED" w:rsidP="00BA7EA7">
            <w:pPr>
              <w:spacing w:before="24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2671FD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68,3</w:t>
            </w:r>
          </w:p>
        </w:tc>
      </w:tr>
      <w:tr w:rsidR="00935CCF" w:rsidRPr="00BA7EA7" w:rsidTr="00935CCF">
        <w:trPr>
          <w:trHeight w:val="7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23ED" w:rsidRDefault="00AC4978" w:rsidP="00BA7EA7">
            <w:pPr>
              <w:widowControl/>
              <w:autoSpaceDE/>
              <w:autoSpaceDN/>
              <w:adjustRightInd/>
              <w:spacing w:before="240" w:line="276" w:lineRule="auto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Perspective d'évolution du nombre de chômeur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  <w:t>-70,8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</w:p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sz w:val="16"/>
                <w:szCs w:val="16"/>
              </w:rPr>
              <w:t>-82,0</w:t>
            </w:r>
          </w:p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255396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-62,2</w:t>
            </w:r>
          </w:p>
        </w:tc>
      </w:tr>
      <w:tr w:rsidR="00935CCF" w:rsidRPr="00BA7EA7" w:rsidTr="00935CCF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23ED" w:rsidRDefault="009B46B1" w:rsidP="00BA7EA7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Evolution passée</w:t>
            </w:r>
            <w:r w:rsidR="00AC4978"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 xml:space="preserve"> du niveau de vie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  <w:t>-19,8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255396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-50,5</w:t>
            </w:r>
          </w:p>
        </w:tc>
      </w:tr>
      <w:tr w:rsidR="00935CCF" w:rsidRPr="00BA7EA7" w:rsidTr="00935CCF">
        <w:trPr>
          <w:trHeight w:val="7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23ED" w:rsidRDefault="00AC4978" w:rsidP="00BA7EA7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Perspective d'évolution du niveau de vie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  <w:t>-4,6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255396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13,2</w:t>
            </w:r>
          </w:p>
        </w:tc>
      </w:tr>
      <w:tr w:rsidR="00935CCF" w:rsidRPr="00BA7EA7" w:rsidTr="00935CCF">
        <w:trPr>
          <w:trHeight w:val="3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23ED" w:rsidRDefault="00AC4978" w:rsidP="00BA7EA7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Opportunité d'achat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  <w:t>-32,6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255396" w:rsidP="009323ED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-61,</w:t>
            </w:r>
            <w:r w:rsidR="009323E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</w:t>
            </w:r>
          </w:p>
        </w:tc>
      </w:tr>
      <w:tr w:rsidR="00935CCF" w:rsidRPr="00BA7EA7" w:rsidTr="00935CCF">
        <w:trPr>
          <w:trHeight w:val="7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23ED" w:rsidRDefault="00AC4978" w:rsidP="00BA7EA7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Situation financière actuelle des ménages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  <w:t>-27,7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255396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-34,4</w:t>
            </w:r>
          </w:p>
        </w:tc>
      </w:tr>
      <w:tr w:rsidR="00935CCF" w:rsidRPr="00BA7EA7" w:rsidTr="00935CCF">
        <w:trPr>
          <w:trHeight w:val="9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23ED" w:rsidRDefault="009B46B1" w:rsidP="00BA7EA7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Evolution passée</w:t>
            </w:r>
            <w:r w:rsidR="00AC4978"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 xml:space="preserve"> de la situation financière des ménages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  <w:t>-22,9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255396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-47,4</w:t>
            </w:r>
          </w:p>
        </w:tc>
      </w:tr>
      <w:tr w:rsidR="00935CCF" w:rsidRPr="00BA7EA7" w:rsidTr="00935CCF">
        <w:trPr>
          <w:trHeight w:val="9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23ED" w:rsidRDefault="009B46B1" w:rsidP="00BA7EA7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Evolution future</w:t>
            </w:r>
            <w:r w:rsidR="00AC4978"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 xml:space="preserve"> de la situation financière des ménages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  <w:t>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255396" w:rsidP="009323ED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21,</w:t>
            </w:r>
            <w:r w:rsidR="009323E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3</w:t>
            </w:r>
          </w:p>
        </w:tc>
      </w:tr>
      <w:tr w:rsidR="00250C4C" w:rsidRPr="00BA7EA7" w:rsidTr="00305983">
        <w:trPr>
          <w:trHeight w:val="224"/>
        </w:trPr>
        <w:tc>
          <w:tcPr>
            <w:tcW w:w="0" w:type="auto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C4C" w:rsidRPr="00935CCF" w:rsidRDefault="00250C4C" w:rsidP="00BA7EA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Autres soldes</w:t>
            </w:r>
          </w:p>
        </w:tc>
      </w:tr>
      <w:tr w:rsidR="00935CCF" w:rsidRPr="00BA7EA7" w:rsidTr="00935CCF">
        <w:trPr>
          <w:trHeight w:val="9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23ED" w:rsidRDefault="00AC4978" w:rsidP="00BA7EA7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Evolution future des prix des produits alimentaires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-79,3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-79,6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-84,0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-83,3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-68,1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255396" w:rsidP="009323ED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-60,</w:t>
            </w:r>
            <w:r w:rsidR="009323E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</w:t>
            </w:r>
          </w:p>
        </w:tc>
      </w:tr>
      <w:tr w:rsidR="00935CCF" w:rsidRPr="00BA7EA7" w:rsidTr="00935CCF">
        <w:trPr>
          <w:trHeight w:val="9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23ED" w:rsidRDefault="009B46B1" w:rsidP="00BA7EA7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Evolution passée</w:t>
            </w:r>
            <w:r w:rsidR="00AC4978"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 xml:space="preserve"> des prix des produits alimentaires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255396" w:rsidP="009323ED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</w:t>
            </w:r>
            <w:r w:rsidR="009323ED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</w:t>
            </w:r>
          </w:p>
        </w:tc>
      </w:tr>
      <w:tr w:rsidR="00935CCF" w:rsidRPr="00BA7EA7" w:rsidTr="00935CCF">
        <w:trPr>
          <w:trHeight w:val="9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23ED" w:rsidRDefault="00AC4978" w:rsidP="00BA7EA7">
            <w:pPr>
              <w:widowControl/>
              <w:autoSpaceDE/>
              <w:autoSpaceDN/>
              <w:adjustRightInd/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9323E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Capacité à épargner des ménages dans les mois à venir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4978" w:rsidRPr="00935CCF" w:rsidRDefault="00AC4978" w:rsidP="00BA7EA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AC4978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978" w:rsidRPr="00935CCF" w:rsidRDefault="00255396" w:rsidP="00BA7EA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35CCF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-60,8</w:t>
            </w:r>
          </w:p>
        </w:tc>
      </w:tr>
      <w:bookmarkEnd w:id="2"/>
    </w:tbl>
    <w:p w:rsidR="00FD508C" w:rsidRPr="00BA7EA7" w:rsidRDefault="00FD508C" w:rsidP="00250C4C">
      <w:pPr>
        <w:spacing w:line="276" w:lineRule="auto"/>
        <w:jc w:val="center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sectPr w:rsidR="00FD508C" w:rsidRPr="00BA7EA7" w:rsidSect="00A71494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B26" w:rsidRDefault="00990B26" w:rsidP="00460705">
      <w:r>
        <w:separator/>
      </w:r>
    </w:p>
  </w:endnote>
  <w:endnote w:type="continuationSeparator" w:id="0">
    <w:p w:rsidR="00990B26" w:rsidRDefault="00990B26" w:rsidP="00460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62132658"/>
      <w:docPartObj>
        <w:docPartGallery w:val="Page Numbers (Bottom of Page)"/>
        <w:docPartUnique/>
      </w:docPartObj>
    </w:sdtPr>
    <w:sdtEndPr/>
    <w:sdtContent>
      <w:p w:rsidR="00305983" w:rsidRDefault="00E41CBD">
        <w:pPr>
          <w:pStyle w:val="Pieddepage"/>
          <w:jc w:val="center"/>
        </w:pPr>
        <w:r>
          <w:fldChar w:fldCharType="begin"/>
        </w:r>
        <w:r w:rsidR="00EA2953">
          <w:instrText xml:space="preserve"> PAGE   \* MERGEFORMAT </w:instrText>
        </w:r>
        <w:r>
          <w:fldChar w:fldCharType="separate"/>
        </w:r>
        <w:r w:rsidR="004F02E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05983" w:rsidRDefault="00305983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B26" w:rsidRDefault="00990B26" w:rsidP="00460705">
      <w:r>
        <w:separator/>
      </w:r>
    </w:p>
  </w:footnote>
  <w:footnote w:type="continuationSeparator" w:id="0">
    <w:p w:rsidR="00990B26" w:rsidRDefault="00990B26" w:rsidP="004607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07A8E"/>
    <w:multiLevelType w:val="hybridMultilevel"/>
    <w:tmpl w:val="DEAAA6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02827"/>
    <w:multiLevelType w:val="hybridMultilevel"/>
    <w:tmpl w:val="651C7EFE"/>
    <w:lvl w:ilvl="0" w:tplc="B100CA10">
      <w:start w:val="3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8056781"/>
    <w:multiLevelType w:val="hybridMultilevel"/>
    <w:tmpl w:val="784EAA80"/>
    <w:lvl w:ilvl="0" w:tplc="6DD295CC">
      <w:start w:val="1"/>
      <w:numFmt w:val="decimal"/>
      <w:lvlText w:val="(%1)"/>
      <w:lvlJc w:val="left"/>
      <w:pPr>
        <w:ind w:left="720" w:hanging="360"/>
      </w:pPr>
      <w:rPr>
        <w:rFonts w:hint="default"/>
        <w:b/>
        <w:vertAlign w:val="superscrip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1432E"/>
    <w:multiLevelType w:val="hybridMultilevel"/>
    <w:tmpl w:val="0CEE6D0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A122E6"/>
    <w:multiLevelType w:val="hybridMultilevel"/>
    <w:tmpl w:val="826865B6"/>
    <w:lvl w:ilvl="0" w:tplc="0616EC8E">
      <w:numFmt w:val="bullet"/>
      <w:lvlText w:val="-"/>
      <w:lvlJc w:val="left"/>
      <w:pPr>
        <w:ind w:left="1080" w:hanging="360"/>
      </w:pPr>
      <w:rPr>
        <w:rFonts w:ascii="Book Antiqua" w:eastAsia="Calibri" w:hAnsi="Book Antiqua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3932AC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032A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51664"/>
    <w:multiLevelType w:val="hybridMultilevel"/>
    <w:tmpl w:val="23060486"/>
    <w:lvl w:ilvl="0" w:tplc="20AE1A2A">
      <w:start w:val="1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CC54CD3"/>
    <w:multiLevelType w:val="hybridMultilevel"/>
    <w:tmpl w:val="0EF07944"/>
    <w:lvl w:ilvl="0" w:tplc="040C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9C3212"/>
    <w:multiLevelType w:val="hybridMultilevel"/>
    <w:tmpl w:val="30024AD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245C66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28527B"/>
    <w:multiLevelType w:val="multilevel"/>
    <w:tmpl w:val="61509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43E6100A"/>
    <w:multiLevelType w:val="hybridMultilevel"/>
    <w:tmpl w:val="F000AF92"/>
    <w:lvl w:ilvl="0" w:tplc="040C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 w15:restartNumberingAfterBreak="0">
    <w:nsid w:val="498D60E8"/>
    <w:multiLevelType w:val="hybridMultilevel"/>
    <w:tmpl w:val="E83A85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55FAE"/>
    <w:multiLevelType w:val="hybridMultilevel"/>
    <w:tmpl w:val="5A8C44D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DB559E"/>
    <w:multiLevelType w:val="hybridMultilevel"/>
    <w:tmpl w:val="C6182B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D7E0F"/>
    <w:multiLevelType w:val="hybridMultilevel"/>
    <w:tmpl w:val="575CBAD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4D297B"/>
    <w:multiLevelType w:val="hybridMultilevel"/>
    <w:tmpl w:val="054A54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657841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F3FE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BD7D01"/>
    <w:multiLevelType w:val="hybridMultilevel"/>
    <w:tmpl w:val="0E2043F8"/>
    <w:lvl w:ilvl="0" w:tplc="040C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4"/>
  </w:num>
  <w:num w:numId="4">
    <w:abstractNumId w:val="14"/>
  </w:num>
  <w:num w:numId="5">
    <w:abstractNumId w:val="11"/>
  </w:num>
  <w:num w:numId="6">
    <w:abstractNumId w:val="13"/>
  </w:num>
  <w:num w:numId="7">
    <w:abstractNumId w:val="0"/>
  </w:num>
  <w:num w:numId="8">
    <w:abstractNumId w:val="9"/>
  </w:num>
  <w:num w:numId="9">
    <w:abstractNumId w:val="18"/>
  </w:num>
  <w:num w:numId="10">
    <w:abstractNumId w:val="8"/>
  </w:num>
  <w:num w:numId="11">
    <w:abstractNumId w:val="20"/>
  </w:num>
  <w:num w:numId="12">
    <w:abstractNumId w:val="1"/>
  </w:num>
  <w:num w:numId="13">
    <w:abstractNumId w:val="19"/>
  </w:num>
  <w:num w:numId="14">
    <w:abstractNumId w:val="10"/>
  </w:num>
  <w:num w:numId="15">
    <w:abstractNumId w:val="6"/>
  </w:num>
  <w:num w:numId="16">
    <w:abstractNumId w:val="3"/>
  </w:num>
  <w:num w:numId="17">
    <w:abstractNumId w:val="17"/>
  </w:num>
  <w:num w:numId="18">
    <w:abstractNumId w:val="16"/>
  </w:num>
  <w:num w:numId="19">
    <w:abstractNumId w:val="7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704"/>
    <w:rsid w:val="000013E4"/>
    <w:rsid w:val="00001624"/>
    <w:rsid w:val="000016A1"/>
    <w:rsid w:val="000023E0"/>
    <w:rsid w:val="00002B11"/>
    <w:rsid w:val="00002F9B"/>
    <w:rsid w:val="00003F54"/>
    <w:rsid w:val="00004B1E"/>
    <w:rsid w:val="00005381"/>
    <w:rsid w:val="000060F8"/>
    <w:rsid w:val="000069AE"/>
    <w:rsid w:val="0000713A"/>
    <w:rsid w:val="00007426"/>
    <w:rsid w:val="000100F3"/>
    <w:rsid w:val="00011A0E"/>
    <w:rsid w:val="00011BC4"/>
    <w:rsid w:val="00011F4E"/>
    <w:rsid w:val="00012970"/>
    <w:rsid w:val="00012F82"/>
    <w:rsid w:val="00013016"/>
    <w:rsid w:val="00013329"/>
    <w:rsid w:val="00014530"/>
    <w:rsid w:val="00014940"/>
    <w:rsid w:val="00014F59"/>
    <w:rsid w:val="00015112"/>
    <w:rsid w:val="000151DD"/>
    <w:rsid w:val="00015EF3"/>
    <w:rsid w:val="00016F90"/>
    <w:rsid w:val="0001722E"/>
    <w:rsid w:val="000174FE"/>
    <w:rsid w:val="00017526"/>
    <w:rsid w:val="0001754D"/>
    <w:rsid w:val="000213FC"/>
    <w:rsid w:val="00022644"/>
    <w:rsid w:val="00023DE5"/>
    <w:rsid w:val="00024686"/>
    <w:rsid w:val="00024B04"/>
    <w:rsid w:val="0002532B"/>
    <w:rsid w:val="00025CE4"/>
    <w:rsid w:val="00025F15"/>
    <w:rsid w:val="000265CF"/>
    <w:rsid w:val="00027300"/>
    <w:rsid w:val="00027461"/>
    <w:rsid w:val="000274C4"/>
    <w:rsid w:val="000315FD"/>
    <w:rsid w:val="00031CFB"/>
    <w:rsid w:val="000324B4"/>
    <w:rsid w:val="00032619"/>
    <w:rsid w:val="00032AF9"/>
    <w:rsid w:val="00032B79"/>
    <w:rsid w:val="00032ECD"/>
    <w:rsid w:val="00034F42"/>
    <w:rsid w:val="00035053"/>
    <w:rsid w:val="000356C1"/>
    <w:rsid w:val="00035819"/>
    <w:rsid w:val="000360E1"/>
    <w:rsid w:val="000364EF"/>
    <w:rsid w:val="00036F7C"/>
    <w:rsid w:val="0003703D"/>
    <w:rsid w:val="000370B6"/>
    <w:rsid w:val="00037ABF"/>
    <w:rsid w:val="00041428"/>
    <w:rsid w:val="0004211E"/>
    <w:rsid w:val="00042157"/>
    <w:rsid w:val="00043430"/>
    <w:rsid w:val="0004437F"/>
    <w:rsid w:val="00044E75"/>
    <w:rsid w:val="000451AC"/>
    <w:rsid w:val="00045674"/>
    <w:rsid w:val="00046C56"/>
    <w:rsid w:val="00046EB3"/>
    <w:rsid w:val="00047148"/>
    <w:rsid w:val="00047B2B"/>
    <w:rsid w:val="00050145"/>
    <w:rsid w:val="00050460"/>
    <w:rsid w:val="00051534"/>
    <w:rsid w:val="000518A6"/>
    <w:rsid w:val="00051A04"/>
    <w:rsid w:val="00051B80"/>
    <w:rsid w:val="00052C8E"/>
    <w:rsid w:val="0005319E"/>
    <w:rsid w:val="0005351F"/>
    <w:rsid w:val="0005355A"/>
    <w:rsid w:val="0005413E"/>
    <w:rsid w:val="00055B18"/>
    <w:rsid w:val="0005628D"/>
    <w:rsid w:val="000569E9"/>
    <w:rsid w:val="00056F4A"/>
    <w:rsid w:val="0005706F"/>
    <w:rsid w:val="00057262"/>
    <w:rsid w:val="00057BC7"/>
    <w:rsid w:val="00057E1A"/>
    <w:rsid w:val="00061CA4"/>
    <w:rsid w:val="00062779"/>
    <w:rsid w:val="00063B1B"/>
    <w:rsid w:val="00063B3F"/>
    <w:rsid w:val="00064021"/>
    <w:rsid w:val="000646B0"/>
    <w:rsid w:val="000656CB"/>
    <w:rsid w:val="00065DD7"/>
    <w:rsid w:val="00066ADF"/>
    <w:rsid w:val="00066E22"/>
    <w:rsid w:val="00067347"/>
    <w:rsid w:val="00067D35"/>
    <w:rsid w:val="00070565"/>
    <w:rsid w:val="000706EE"/>
    <w:rsid w:val="000712A9"/>
    <w:rsid w:val="000718BD"/>
    <w:rsid w:val="000720FD"/>
    <w:rsid w:val="00072708"/>
    <w:rsid w:val="00072AB7"/>
    <w:rsid w:val="00072CF2"/>
    <w:rsid w:val="00072EEA"/>
    <w:rsid w:val="00072F7C"/>
    <w:rsid w:val="00073079"/>
    <w:rsid w:val="00073C23"/>
    <w:rsid w:val="000748D8"/>
    <w:rsid w:val="000749D1"/>
    <w:rsid w:val="000753A8"/>
    <w:rsid w:val="000756A1"/>
    <w:rsid w:val="00076938"/>
    <w:rsid w:val="00076F92"/>
    <w:rsid w:val="000779C2"/>
    <w:rsid w:val="00077CAA"/>
    <w:rsid w:val="00081434"/>
    <w:rsid w:val="00081E5A"/>
    <w:rsid w:val="0008224D"/>
    <w:rsid w:val="00082D2E"/>
    <w:rsid w:val="000836A6"/>
    <w:rsid w:val="000838BF"/>
    <w:rsid w:val="000839B9"/>
    <w:rsid w:val="0008574A"/>
    <w:rsid w:val="00086CD2"/>
    <w:rsid w:val="000877E9"/>
    <w:rsid w:val="0008783E"/>
    <w:rsid w:val="00087DA2"/>
    <w:rsid w:val="000909E5"/>
    <w:rsid w:val="00090FCF"/>
    <w:rsid w:val="00090FEC"/>
    <w:rsid w:val="00091D64"/>
    <w:rsid w:val="00091E28"/>
    <w:rsid w:val="00091FB9"/>
    <w:rsid w:val="00092DFB"/>
    <w:rsid w:val="00093A83"/>
    <w:rsid w:val="00093D84"/>
    <w:rsid w:val="00094BEF"/>
    <w:rsid w:val="00097300"/>
    <w:rsid w:val="00097799"/>
    <w:rsid w:val="0009797C"/>
    <w:rsid w:val="00097D75"/>
    <w:rsid w:val="000A0177"/>
    <w:rsid w:val="000A07A7"/>
    <w:rsid w:val="000A0881"/>
    <w:rsid w:val="000A11C5"/>
    <w:rsid w:val="000A14AD"/>
    <w:rsid w:val="000A158A"/>
    <w:rsid w:val="000A18FB"/>
    <w:rsid w:val="000A1DEA"/>
    <w:rsid w:val="000A20DC"/>
    <w:rsid w:val="000A26E7"/>
    <w:rsid w:val="000A27F7"/>
    <w:rsid w:val="000A2DA9"/>
    <w:rsid w:val="000A33DF"/>
    <w:rsid w:val="000A40C3"/>
    <w:rsid w:val="000A5682"/>
    <w:rsid w:val="000A5C5F"/>
    <w:rsid w:val="000A5F4A"/>
    <w:rsid w:val="000A6135"/>
    <w:rsid w:val="000A62F9"/>
    <w:rsid w:val="000B0844"/>
    <w:rsid w:val="000B09BA"/>
    <w:rsid w:val="000B0E7A"/>
    <w:rsid w:val="000B1487"/>
    <w:rsid w:val="000B16D1"/>
    <w:rsid w:val="000B2067"/>
    <w:rsid w:val="000B2FFE"/>
    <w:rsid w:val="000B34E3"/>
    <w:rsid w:val="000B4FE0"/>
    <w:rsid w:val="000B552C"/>
    <w:rsid w:val="000B62B1"/>
    <w:rsid w:val="000C0C01"/>
    <w:rsid w:val="000C1464"/>
    <w:rsid w:val="000C2CA9"/>
    <w:rsid w:val="000C3718"/>
    <w:rsid w:val="000C39F9"/>
    <w:rsid w:val="000C439F"/>
    <w:rsid w:val="000C4C0E"/>
    <w:rsid w:val="000C56EA"/>
    <w:rsid w:val="000C689C"/>
    <w:rsid w:val="000C7F17"/>
    <w:rsid w:val="000D1CF5"/>
    <w:rsid w:val="000D24FA"/>
    <w:rsid w:val="000D2586"/>
    <w:rsid w:val="000D2E52"/>
    <w:rsid w:val="000D341B"/>
    <w:rsid w:val="000D367A"/>
    <w:rsid w:val="000D3B30"/>
    <w:rsid w:val="000D4077"/>
    <w:rsid w:val="000D4920"/>
    <w:rsid w:val="000D54E1"/>
    <w:rsid w:val="000D5638"/>
    <w:rsid w:val="000D5AB2"/>
    <w:rsid w:val="000D5B0A"/>
    <w:rsid w:val="000D5CEB"/>
    <w:rsid w:val="000E0128"/>
    <w:rsid w:val="000E030A"/>
    <w:rsid w:val="000E10E0"/>
    <w:rsid w:val="000E1534"/>
    <w:rsid w:val="000E17D9"/>
    <w:rsid w:val="000E1BEE"/>
    <w:rsid w:val="000E20BC"/>
    <w:rsid w:val="000E21A1"/>
    <w:rsid w:val="000E3747"/>
    <w:rsid w:val="000E4DC7"/>
    <w:rsid w:val="000E5EA9"/>
    <w:rsid w:val="000E6EB3"/>
    <w:rsid w:val="000E71C8"/>
    <w:rsid w:val="000F0919"/>
    <w:rsid w:val="000F0DB1"/>
    <w:rsid w:val="000F184A"/>
    <w:rsid w:val="000F2945"/>
    <w:rsid w:val="000F2B60"/>
    <w:rsid w:val="000F2E6E"/>
    <w:rsid w:val="000F5A2E"/>
    <w:rsid w:val="000F62E1"/>
    <w:rsid w:val="000F641A"/>
    <w:rsid w:val="000F6CE8"/>
    <w:rsid w:val="000F70E8"/>
    <w:rsid w:val="000F74C5"/>
    <w:rsid w:val="000F7670"/>
    <w:rsid w:val="000F7A57"/>
    <w:rsid w:val="000F7C4F"/>
    <w:rsid w:val="00100026"/>
    <w:rsid w:val="0010025C"/>
    <w:rsid w:val="00101249"/>
    <w:rsid w:val="00101DA7"/>
    <w:rsid w:val="00102B5C"/>
    <w:rsid w:val="001037B3"/>
    <w:rsid w:val="00104221"/>
    <w:rsid w:val="00104438"/>
    <w:rsid w:val="00104463"/>
    <w:rsid w:val="00104CAC"/>
    <w:rsid w:val="00104D05"/>
    <w:rsid w:val="001052BE"/>
    <w:rsid w:val="001052EC"/>
    <w:rsid w:val="00105320"/>
    <w:rsid w:val="00105B72"/>
    <w:rsid w:val="00106C84"/>
    <w:rsid w:val="00106E19"/>
    <w:rsid w:val="00106EC0"/>
    <w:rsid w:val="00106FA4"/>
    <w:rsid w:val="00107245"/>
    <w:rsid w:val="00107534"/>
    <w:rsid w:val="00107E17"/>
    <w:rsid w:val="00107F1E"/>
    <w:rsid w:val="001103D0"/>
    <w:rsid w:val="00110B90"/>
    <w:rsid w:val="00110BE5"/>
    <w:rsid w:val="00111470"/>
    <w:rsid w:val="001116C8"/>
    <w:rsid w:val="00111FC4"/>
    <w:rsid w:val="00113273"/>
    <w:rsid w:val="001133D2"/>
    <w:rsid w:val="00113767"/>
    <w:rsid w:val="00114063"/>
    <w:rsid w:val="001143FE"/>
    <w:rsid w:val="0011495F"/>
    <w:rsid w:val="00115D48"/>
    <w:rsid w:val="001161C4"/>
    <w:rsid w:val="00116945"/>
    <w:rsid w:val="0011726A"/>
    <w:rsid w:val="001174FE"/>
    <w:rsid w:val="00117A2F"/>
    <w:rsid w:val="00117F82"/>
    <w:rsid w:val="00120997"/>
    <w:rsid w:val="00121180"/>
    <w:rsid w:val="00121CCC"/>
    <w:rsid w:val="001222E7"/>
    <w:rsid w:val="00122941"/>
    <w:rsid w:val="00123E79"/>
    <w:rsid w:val="00124002"/>
    <w:rsid w:val="001242C0"/>
    <w:rsid w:val="00124772"/>
    <w:rsid w:val="00124827"/>
    <w:rsid w:val="00124FE0"/>
    <w:rsid w:val="00125161"/>
    <w:rsid w:val="001254E5"/>
    <w:rsid w:val="00125543"/>
    <w:rsid w:val="00126B26"/>
    <w:rsid w:val="00126CC0"/>
    <w:rsid w:val="00126E55"/>
    <w:rsid w:val="0012794C"/>
    <w:rsid w:val="00127D67"/>
    <w:rsid w:val="00131E2D"/>
    <w:rsid w:val="001328D0"/>
    <w:rsid w:val="00133286"/>
    <w:rsid w:val="0013347C"/>
    <w:rsid w:val="001335BA"/>
    <w:rsid w:val="00133687"/>
    <w:rsid w:val="00133860"/>
    <w:rsid w:val="001347D2"/>
    <w:rsid w:val="00135445"/>
    <w:rsid w:val="00135D83"/>
    <w:rsid w:val="0013654E"/>
    <w:rsid w:val="00137D7D"/>
    <w:rsid w:val="001404A9"/>
    <w:rsid w:val="001414F3"/>
    <w:rsid w:val="001424D2"/>
    <w:rsid w:val="0014379B"/>
    <w:rsid w:val="001438AB"/>
    <w:rsid w:val="0014398F"/>
    <w:rsid w:val="00143A5A"/>
    <w:rsid w:val="00144320"/>
    <w:rsid w:val="00145956"/>
    <w:rsid w:val="001467F7"/>
    <w:rsid w:val="00146EDA"/>
    <w:rsid w:val="0014733D"/>
    <w:rsid w:val="00150681"/>
    <w:rsid w:val="00151AE6"/>
    <w:rsid w:val="00151C70"/>
    <w:rsid w:val="0015212E"/>
    <w:rsid w:val="001523D7"/>
    <w:rsid w:val="00152D59"/>
    <w:rsid w:val="00153ECF"/>
    <w:rsid w:val="00154298"/>
    <w:rsid w:val="00154339"/>
    <w:rsid w:val="001545AE"/>
    <w:rsid w:val="00154E44"/>
    <w:rsid w:val="00156587"/>
    <w:rsid w:val="0015763C"/>
    <w:rsid w:val="00157CA9"/>
    <w:rsid w:val="0016005A"/>
    <w:rsid w:val="00160141"/>
    <w:rsid w:val="00160994"/>
    <w:rsid w:val="00161429"/>
    <w:rsid w:val="00161772"/>
    <w:rsid w:val="00161C4B"/>
    <w:rsid w:val="00161D6D"/>
    <w:rsid w:val="00162062"/>
    <w:rsid w:val="001638CE"/>
    <w:rsid w:val="00163D93"/>
    <w:rsid w:val="0016405E"/>
    <w:rsid w:val="001643DF"/>
    <w:rsid w:val="001648E6"/>
    <w:rsid w:val="00164979"/>
    <w:rsid w:val="00165671"/>
    <w:rsid w:val="0016596E"/>
    <w:rsid w:val="001672BD"/>
    <w:rsid w:val="0016780D"/>
    <w:rsid w:val="00172005"/>
    <w:rsid w:val="00172D27"/>
    <w:rsid w:val="00172F47"/>
    <w:rsid w:val="00173781"/>
    <w:rsid w:val="00174115"/>
    <w:rsid w:val="00174542"/>
    <w:rsid w:val="00174553"/>
    <w:rsid w:val="001748E9"/>
    <w:rsid w:val="0017495A"/>
    <w:rsid w:val="0017568F"/>
    <w:rsid w:val="001757C5"/>
    <w:rsid w:val="001760CB"/>
    <w:rsid w:val="00181B72"/>
    <w:rsid w:val="001829B0"/>
    <w:rsid w:val="00182E1E"/>
    <w:rsid w:val="00184023"/>
    <w:rsid w:val="00184134"/>
    <w:rsid w:val="00184250"/>
    <w:rsid w:val="00185207"/>
    <w:rsid w:val="00185ABC"/>
    <w:rsid w:val="001864E5"/>
    <w:rsid w:val="00186530"/>
    <w:rsid w:val="001871C4"/>
    <w:rsid w:val="00187A5C"/>
    <w:rsid w:val="00187EB7"/>
    <w:rsid w:val="00190672"/>
    <w:rsid w:val="00191E08"/>
    <w:rsid w:val="00191F62"/>
    <w:rsid w:val="001930B7"/>
    <w:rsid w:val="00193B35"/>
    <w:rsid w:val="00193B4D"/>
    <w:rsid w:val="00193E60"/>
    <w:rsid w:val="0019435A"/>
    <w:rsid w:val="0019492E"/>
    <w:rsid w:val="001956DC"/>
    <w:rsid w:val="00195D2E"/>
    <w:rsid w:val="001960E9"/>
    <w:rsid w:val="001968E2"/>
    <w:rsid w:val="00196B6B"/>
    <w:rsid w:val="00196D8E"/>
    <w:rsid w:val="00196DF3"/>
    <w:rsid w:val="001975D4"/>
    <w:rsid w:val="00197D9A"/>
    <w:rsid w:val="00197F64"/>
    <w:rsid w:val="001A0310"/>
    <w:rsid w:val="001A048A"/>
    <w:rsid w:val="001A0F65"/>
    <w:rsid w:val="001A2204"/>
    <w:rsid w:val="001A288D"/>
    <w:rsid w:val="001A292A"/>
    <w:rsid w:val="001A384F"/>
    <w:rsid w:val="001A4203"/>
    <w:rsid w:val="001A4A45"/>
    <w:rsid w:val="001A4BB7"/>
    <w:rsid w:val="001A55DD"/>
    <w:rsid w:val="001A6084"/>
    <w:rsid w:val="001A62A1"/>
    <w:rsid w:val="001A648B"/>
    <w:rsid w:val="001A69DD"/>
    <w:rsid w:val="001A6BB6"/>
    <w:rsid w:val="001A7746"/>
    <w:rsid w:val="001B03D3"/>
    <w:rsid w:val="001B06F9"/>
    <w:rsid w:val="001B0AB6"/>
    <w:rsid w:val="001B1130"/>
    <w:rsid w:val="001B1C9F"/>
    <w:rsid w:val="001B1E0E"/>
    <w:rsid w:val="001B20D5"/>
    <w:rsid w:val="001B2334"/>
    <w:rsid w:val="001B3593"/>
    <w:rsid w:val="001B35E9"/>
    <w:rsid w:val="001B3707"/>
    <w:rsid w:val="001B3CB2"/>
    <w:rsid w:val="001B50A1"/>
    <w:rsid w:val="001B561B"/>
    <w:rsid w:val="001B5B96"/>
    <w:rsid w:val="001B5F02"/>
    <w:rsid w:val="001B69A3"/>
    <w:rsid w:val="001B7322"/>
    <w:rsid w:val="001B765A"/>
    <w:rsid w:val="001B7854"/>
    <w:rsid w:val="001C0839"/>
    <w:rsid w:val="001C14A6"/>
    <w:rsid w:val="001C251F"/>
    <w:rsid w:val="001C4759"/>
    <w:rsid w:val="001C4D54"/>
    <w:rsid w:val="001C5656"/>
    <w:rsid w:val="001C5AA4"/>
    <w:rsid w:val="001C67D4"/>
    <w:rsid w:val="001C6846"/>
    <w:rsid w:val="001C6883"/>
    <w:rsid w:val="001D02E1"/>
    <w:rsid w:val="001D0C73"/>
    <w:rsid w:val="001D17AC"/>
    <w:rsid w:val="001D2665"/>
    <w:rsid w:val="001D28DC"/>
    <w:rsid w:val="001D2B80"/>
    <w:rsid w:val="001D2D35"/>
    <w:rsid w:val="001D2E4E"/>
    <w:rsid w:val="001D3A1D"/>
    <w:rsid w:val="001D49E8"/>
    <w:rsid w:val="001D5548"/>
    <w:rsid w:val="001D55A9"/>
    <w:rsid w:val="001D58BD"/>
    <w:rsid w:val="001D684C"/>
    <w:rsid w:val="001D709D"/>
    <w:rsid w:val="001E0A9C"/>
    <w:rsid w:val="001E0D0B"/>
    <w:rsid w:val="001E1149"/>
    <w:rsid w:val="001E1901"/>
    <w:rsid w:val="001E36D5"/>
    <w:rsid w:val="001E42CC"/>
    <w:rsid w:val="001E4F55"/>
    <w:rsid w:val="001E5372"/>
    <w:rsid w:val="001E5697"/>
    <w:rsid w:val="001E6198"/>
    <w:rsid w:val="001E78BD"/>
    <w:rsid w:val="001F00F0"/>
    <w:rsid w:val="001F04DE"/>
    <w:rsid w:val="001F062E"/>
    <w:rsid w:val="001F0ABF"/>
    <w:rsid w:val="001F14B0"/>
    <w:rsid w:val="001F20AF"/>
    <w:rsid w:val="001F2626"/>
    <w:rsid w:val="001F321B"/>
    <w:rsid w:val="001F3646"/>
    <w:rsid w:val="001F3E68"/>
    <w:rsid w:val="001F4A3E"/>
    <w:rsid w:val="001F4E50"/>
    <w:rsid w:val="001F4FE4"/>
    <w:rsid w:val="001F5722"/>
    <w:rsid w:val="001F5970"/>
    <w:rsid w:val="001F59E2"/>
    <w:rsid w:val="001F5D34"/>
    <w:rsid w:val="001F626D"/>
    <w:rsid w:val="001F66E3"/>
    <w:rsid w:val="001F6A20"/>
    <w:rsid w:val="001F6A9C"/>
    <w:rsid w:val="001F70B6"/>
    <w:rsid w:val="001F739C"/>
    <w:rsid w:val="001F7711"/>
    <w:rsid w:val="001F7D34"/>
    <w:rsid w:val="00200755"/>
    <w:rsid w:val="002021DE"/>
    <w:rsid w:val="002041E9"/>
    <w:rsid w:val="00204574"/>
    <w:rsid w:val="0020508E"/>
    <w:rsid w:val="00206A7F"/>
    <w:rsid w:val="0020711A"/>
    <w:rsid w:val="00207730"/>
    <w:rsid w:val="0021180E"/>
    <w:rsid w:val="0021213E"/>
    <w:rsid w:val="00212223"/>
    <w:rsid w:val="002125D5"/>
    <w:rsid w:val="00212714"/>
    <w:rsid w:val="00212E56"/>
    <w:rsid w:val="00213786"/>
    <w:rsid w:val="00213EC2"/>
    <w:rsid w:val="00214439"/>
    <w:rsid w:val="00214D50"/>
    <w:rsid w:val="002163AF"/>
    <w:rsid w:val="002164DC"/>
    <w:rsid w:val="002166B3"/>
    <w:rsid w:val="00216E7C"/>
    <w:rsid w:val="00217334"/>
    <w:rsid w:val="00221FC5"/>
    <w:rsid w:val="00222682"/>
    <w:rsid w:val="002226A1"/>
    <w:rsid w:val="00222815"/>
    <w:rsid w:val="00222831"/>
    <w:rsid w:val="00223178"/>
    <w:rsid w:val="0022318C"/>
    <w:rsid w:val="00223808"/>
    <w:rsid w:val="0022467F"/>
    <w:rsid w:val="00225685"/>
    <w:rsid w:val="00226A52"/>
    <w:rsid w:val="00226BE3"/>
    <w:rsid w:val="00226CEA"/>
    <w:rsid w:val="00227B1B"/>
    <w:rsid w:val="0023094A"/>
    <w:rsid w:val="00232556"/>
    <w:rsid w:val="00232AF5"/>
    <w:rsid w:val="00233531"/>
    <w:rsid w:val="00234907"/>
    <w:rsid w:val="00235C3E"/>
    <w:rsid w:val="002364B4"/>
    <w:rsid w:val="0023661B"/>
    <w:rsid w:val="00236927"/>
    <w:rsid w:val="002375C4"/>
    <w:rsid w:val="0024028E"/>
    <w:rsid w:val="00241A46"/>
    <w:rsid w:val="002431B9"/>
    <w:rsid w:val="002436BE"/>
    <w:rsid w:val="00243AE1"/>
    <w:rsid w:val="00245732"/>
    <w:rsid w:val="00245913"/>
    <w:rsid w:val="00245992"/>
    <w:rsid w:val="00246518"/>
    <w:rsid w:val="002478EF"/>
    <w:rsid w:val="00247A3B"/>
    <w:rsid w:val="002502C2"/>
    <w:rsid w:val="00250C4C"/>
    <w:rsid w:val="00251ABE"/>
    <w:rsid w:val="0025208F"/>
    <w:rsid w:val="0025259C"/>
    <w:rsid w:val="00252BB9"/>
    <w:rsid w:val="0025312C"/>
    <w:rsid w:val="00253166"/>
    <w:rsid w:val="002534E9"/>
    <w:rsid w:val="00253D9F"/>
    <w:rsid w:val="00254965"/>
    <w:rsid w:val="00254CC9"/>
    <w:rsid w:val="00254D8A"/>
    <w:rsid w:val="00255396"/>
    <w:rsid w:val="00256232"/>
    <w:rsid w:val="00256A6D"/>
    <w:rsid w:val="00256C03"/>
    <w:rsid w:val="00256F31"/>
    <w:rsid w:val="00256FBC"/>
    <w:rsid w:val="00257385"/>
    <w:rsid w:val="00260173"/>
    <w:rsid w:val="00260D98"/>
    <w:rsid w:val="002613C1"/>
    <w:rsid w:val="002613F5"/>
    <w:rsid w:val="0026141F"/>
    <w:rsid w:val="00261ED7"/>
    <w:rsid w:val="002620C4"/>
    <w:rsid w:val="00262122"/>
    <w:rsid w:val="00262237"/>
    <w:rsid w:val="0026337D"/>
    <w:rsid w:val="002634E1"/>
    <w:rsid w:val="002636A0"/>
    <w:rsid w:val="00263D54"/>
    <w:rsid w:val="0026440A"/>
    <w:rsid w:val="00264457"/>
    <w:rsid w:val="00265566"/>
    <w:rsid w:val="00265CFD"/>
    <w:rsid w:val="00265F28"/>
    <w:rsid w:val="00266110"/>
    <w:rsid w:val="00266330"/>
    <w:rsid w:val="00266633"/>
    <w:rsid w:val="002671FD"/>
    <w:rsid w:val="00267202"/>
    <w:rsid w:val="00267298"/>
    <w:rsid w:val="002672A0"/>
    <w:rsid w:val="0026748C"/>
    <w:rsid w:val="00267B6E"/>
    <w:rsid w:val="00267DAE"/>
    <w:rsid w:val="00270823"/>
    <w:rsid w:val="00270AD9"/>
    <w:rsid w:val="00270B31"/>
    <w:rsid w:val="00271743"/>
    <w:rsid w:val="00271D22"/>
    <w:rsid w:val="0027263B"/>
    <w:rsid w:val="00272727"/>
    <w:rsid w:val="00272D28"/>
    <w:rsid w:val="0027471B"/>
    <w:rsid w:val="002751C2"/>
    <w:rsid w:val="00275256"/>
    <w:rsid w:val="00276077"/>
    <w:rsid w:val="002775FC"/>
    <w:rsid w:val="00280072"/>
    <w:rsid w:val="0028098C"/>
    <w:rsid w:val="00281D6D"/>
    <w:rsid w:val="002821C5"/>
    <w:rsid w:val="0028239A"/>
    <w:rsid w:val="00282A92"/>
    <w:rsid w:val="002836F5"/>
    <w:rsid w:val="00283A6B"/>
    <w:rsid w:val="00283FD0"/>
    <w:rsid w:val="0028485A"/>
    <w:rsid w:val="0028651B"/>
    <w:rsid w:val="00287AFB"/>
    <w:rsid w:val="00287EC1"/>
    <w:rsid w:val="00290113"/>
    <w:rsid w:val="002904C7"/>
    <w:rsid w:val="002915B7"/>
    <w:rsid w:val="00291C4B"/>
    <w:rsid w:val="00292082"/>
    <w:rsid w:val="0029227A"/>
    <w:rsid w:val="00292381"/>
    <w:rsid w:val="00292CDC"/>
    <w:rsid w:val="00293863"/>
    <w:rsid w:val="002941A3"/>
    <w:rsid w:val="00295A6D"/>
    <w:rsid w:val="00295DF0"/>
    <w:rsid w:val="00296645"/>
    <w:rsid w:val="0029668B"/>
    <w:rsid w:val="00296E08"/>
    <w:rsid w:val="00297250"/>
    <w:rsid w:val="00297C0B"/>
    <w:rsid w:val="002A0DFB"/>
    <w:rsid w:val="002A0E3C"/>
    <w:rsid w:val="002A1005"/>
    <w:rsid w:val="002A1529"/>
    <w:rsid w:val="002A1584"/>
    <w:rsid w:val="002A18ED"/>
    <w:rsid w:val="002A1C56"/>
    <w:rsid w:val="002A1D28"/>
    <w:rsid w:val="002A1FD6"/>
    <w:rsid w:val="002A22AF"/>
    <w:rsid w:val="002A29D2"/>
    <w:rsid w:val="002A2E36"/>
    <w:rsid w:val="002A321D"/>
    <w:rsid w:val="002A36CF"/>
    <w:rsid w:val="002A4737"/>
    <w:rsid w:val="002A53E5"/>
    <w:rsid w:val="002A5852"/>
    <w:rsid w:val="002A5928"/>
    <w:rsid w:val="002A5CD8"/>
    <w:rsid w:val="002A62C3"/>
    <w:rsid w:val="002A7486"/>
    <w:rsid w:val="002A766A"/>
    <w:rsid w:val="002A7C02"/>
    <w:rsid w:val="002A7C36"/>
    <w:rsid w:val="002A7E1E"/>
    <w:rsid w:val="002A7E5D"/>
    <w:rsid w:val="002B0B7B"/>
    <w:rsid w:val="002B10FB"/>
    <w:rsid w:val="002B15A7"/>
    <w:rsid w:val="002B15E6"/>
    <w:rsid w:val="002B2652"/>
    <w:rsid w:val="002B2EC5"/>
    <w:rsid w:val="002B3D5B"/>
    <w:rsid w:val="002B43BB"/>
    <w:rsid w:val="002B4B64"/>
    <w:rsid w:val="002B51C3"/>
    <w:rsid w:val="002B7130"/>
    <w:rsid w:val="002B74FD"/>
    <w:rsid w:val="002B7509"/>
    <w:rsid w:val="002B799E"/>
    <w:rsid w:val="002B79DC"/>
    <w:rsid w:val="002B7C12"/>
    <w:rsid w:val="002B7F41"/>
    <w:rsid w:val="002C03DA"/>
    <w:rsid w:val="002C0743"/>
    <w:rsid w:val="002C0BC4"/>
    <w:rsid w:val="002C0E6A"/>
    <w:rsid w:val="002C10D7"/>
    <w:rsid w:val="002C18A0"/>
    <w:rsid w:val="002C1D2E"/>
    <w:rsid w:val="002C211A"/>
    <w:rsid w:val="002C2298"/>
    <w:rsid w:val="002C26D4"/>
    <w:rsid w:val="002C2BED"/>
    <w:rsid w:val="002C3101"/>
    <w:rsid w:val="002C366D"/>
    <w:rsid w:val="002C5954"/>
    <w:rsid w:val="002C5F58"/>
    <w:rsid w:val="002C6A1C"/>
    <w:rsid w:val="002C768B"/>
    <w:rsid w:val="002C79A8"/>
    <w:rsid w:val="002C7EF2"/>
    <w:rsid w:val="002D112B"/>
    <w:rsid w:val="002D2100"/>
    <w:rsid w:val="002D260C"/>
    <w:rsid w:val="002D2970"/>
    <w:rsid w:val="002D3518"/>
    <w:rsid w:val="002D3C52"/>
    <w:rsid w:val="002D3E22"/>
    <w:rsid w:val="002D54C7"/>
    <w:rsid w:val="002D56C5"/>
    <w:rsid w:val="002D5AAA"/>
    <w:rsid w:val="002D5F99"/>
    <w:rsid w:val="002D6616"/>
    <w:rsid w:val="002D6FC3"/>
    <w:rsid w:val="002D79AA"/>
    <w:rsid w:val="002E02C4"/>
    <w:rsid w:val="002E0AD7"/>
    <w:rsid w:val="002E1871"/>
    <w:rsid w:val="002E238A"/>
    <w:rsid w:val="002E3AEC"/>
    <w:rsid w:val="002E3CF2"/>
    <w:rsid w:val="002E5787"/>
    <w:rsid w:val="002E5849"/>
    <w:rsid w:val="002E5ABF"/>
    <w:rsid w:val="002E5BEC"/>
    <w:rsid w:val="002E69E2"/>
    <w:rsid w:val="002E6F5B"/>
    <w:rsid w:val="002E710F"/>
    <w:rsid w:val="002E7320"/>
    <w:rsid w:val="002E78A3"/>
    <w:rsid w:val="002F08CD"/>
    <w:rsid w:val="002F1287"/>
    <w:rsid w:val="002F142C"/>
    <w:rsid w:val="002F1D60"/>
    <w:rsid w:val="002F3EA6"/>
    <w:rsid w:val="002F566C"/>
    <w:rsid w:val="002F56E4"/>
    <w:rsid w:val="002F5CBB"/>
    <w:rsid w:val="002F5E45"/>
    <w:rsid w:val="002F5E6A"/>
    <w:rsid w:val="002F61B2"/>
    <w:rsid w:val="002F68CD"/>
    <w:rsid w:val="002F6AEC"/>
    <w:rsid w:val="002F7AAE"/>
    <w:rsid w:val="0030061A"/>
    <w:rsid w:val="00300726"/>
    <w:rsid w:val="00301913"/>
    <w:rsid w:val="0030196C"/>
    <w:rsid w:val="00301C04"/>
    <w:rsid w:val="00302717"/>
    <w:rsid w:val="003043BE"/>
    <w:rsid w:val="00304900"/>
    <w:rsid w:val="00304BFF"/>
    <w:rsid w:val="00305983"/>
    <w:rsid w:val="00306F45"/>
    <w:rsid w:val="00307232"/>
    <w:rsid w:val="00307E20"/>
    <w:rsid w:val="00311292"/>
    <w:rsid w:val="0031260C"/>
    <w:rsid w:val="00312C75"/>
    <w:rsid w:val="00312DA6"/>
    <w:rsid w:val="00312EAF"/>
    <w:rsid w:val="00313590"/>
    <w:rsid w:val="00313C10"/>
    <w:rsid w:val="00313E26"/>
    <w:rsid w:val="00314363"/>
    <w:rsid w:val="00314E25"/>
    <w:rsid w:val="00315331"/>
    <w:rsid w:val="00315FDD"/>
    <w:rsid w:val="003203B5"/>
    <w:rsid w:val="00320A30"/>
    <w:rsid w:val="00321109"/>
    <w:rsid w:val="00322586"/>
    <w:rsid w:val="0032273E"/>
    <w:rsid w:val="0032393A"/>
    <w:rsid w:val="00323DD3"/>
    <w:rsid w:val="00324379"/>
    <w:rsid w:val="003243FF"/>
    <w:rsid w:val="0032457C"/>
    <w:rsid w:val="0032474D"/>
    <w:rsid w:val="003249B9"/>
    <w:rsid w:val="00325F2B"/>
    <w:rsid w:val="00326439"/>
    <w:rsid w:val="0032654E"/>
    <w:rsid w:val="00326669"/>
    <w:rsid w:val="003266B8"/>
    <w:rsid w:val="00326909"/>
    <w:rsid w:val="00326988"/>
    <w:rsid w:val="00326D4A"/>
    <w:rsid w:val="00326F79"/>
    <w:rsid w:val="00327D2D"/>
    <w:rsid w:val="0033159D"/>
    <w:rsid w:val="0033192D"/>
    <w:rsid w:val="00331A80"/>
    <w:rsid w:val="003325C2"/>
    <w:rsid w:val="00333CD8"/>
    <w:rsid w:val="00335081"/>
    <w:rsid w:val="00335AA7"/>
    <w:rsid w:val="00337515"/>
    <w:rsid w:val="00337BE3"/>
    <w:rsid w:val="003407DA"/>
    <w:rsid w:val="00342196"/>
    <w:rsid w:val="003423DE"/>
    <w:rsid w:val="00343199"/>
    <w:rsid w:val="00344737"/>
    <w:rsid w:val="00345C8E"/>
    <w:rsid w:val="00345EE0"/>
    <w:rsid w:val="00346706"/>
    <w:rsid w:val="00346987"/>
    <w:rsid w:val="0035142B"/>
    <w:rsid w:val="003514ED"/>
    <w:rsid w:val="00351C1F"/>
    <w:rsid w:val="00351E1C"/>
    <w:rsid w:val="00352106"/>
    <w:rsid w:val="0035217E"/>
    <w:rsid w:val="003525DA"/>
    <w:rsid w:val="00352758"/>
    <w:rsid w:val="00352D33"/>
    <w:rsid w:val="00353CB2"/>
    <w:rsid w:val="003541C4"/>
    <w:rsid w:val="00354A18"/>
    <w:rsid w:val="00354E92"/>
    <w:rsid w:val="003550EA"/>
    <w:rsid w:val="003559FA"/>
    <w:rsid w:val="00355D56"/>
    <w:rsid w:val="00357B74"/>
    <w:rsid w:val="00360176"/>
    <w:rsid w:val="00360556"/>
    <w:rsid w:val="00360720"/>
    <w:rsid w:val="0036132C"/>
    <w:rsid w:val="00362325"/>
    <w:rsid w:val="00362A0D"/>
    <w:rsid w:val="0036400D"/>
    <w:rsid w:val="003658EF"/>
    <w:rsid w:val="00365FDC"/>
    <w:rsid w:val="003661DE"/>
    <w:rsid w:val="003670AA"/>
    <w:rsid w:val="00367BF2"/>
    <w:rsid w:val="00370A60"/>
    <w:rsid w:val="00370B08"/>
    <w:rsid w:val="003713F9"/>
    <w:rsid w:val="00371621"/>
    <w:rsid w:val="003719C4"/>
    <w:rsid w:val="00371D19"/>
    <w:rsid w:val="003724EE"/>
    <w:rsid w:val="00373C93"/>
    <w:rsid w:val="00374E6D"/>
    <w:rsid w:val="00375898"/>
    <w:rsid w:val="0037636A"/>
    <w:rsid w:val="00376AC0"/>
    <w:rsid w:val="00377971"/>
    <w:rsid w:val="003803FA"/>
    <w:rsid w:val="00380461"/>
    <w:rsid w:val="003812CC"/>
    <w:rsid w:val="00381490"/>
    <w:rsid w:val="00381936"/>
    <w:rsid w:val="003827AF"/>
    <w:rsid w:val="00384704"/>
    <w:rsid w:val="0038490E"/>
    <w:rsid w:val="003849A2"/>
    <w:rsid w:val="00385E59"/>
    <w:rsid w:val="003863F6"/>
    <w:rsid w:val="00386E22"/>
    <w:rsid w:val="00387270"/>
    <w:rsid w:val="00390465"/>
    <w:rsid w:val="0039097A"/>
    <w:rsid w:val="00391350"/>
    <w:rsid w:val="003917E1"/>
    <w:rsid w:val="00393479"/>
    <w:rsid w:val="003937BF"/>
    <w:rsid w:val="003938B0"/>
    <w:rsid w:val="00394384"/>
    <w:rsid w:val="003945C0"/>
    <w:rsid w:val="00394F5D"/>
    <w:rsid w:val="00395232"/>
    <w:rsid w:val="003953F7"/>
    <w:rsid w:val="003960C1"/>
    <w:rsid w:val="003972B5"/>
    <w:rsid w:val="003A0725"/>
    <w:rsid w:val="003A0E00"/>
    <w:rsid w:val="003A1290"/>
    <w:rsid w:val="003A18CF"/>
    <w:rsid w:val="003A3105"/>
    <w:rsid w:val="003A32A5"/>
    <w:rsid w:val="003A35D3"/>
    <w:rsid w:val="003A3FB3"/>
    <w:rsid w:val="003A3FCF"/>
    <w:rsid w:val="003A4987"/>
    <w:rsid w:val="003A4FD0"/>
    <w:rsid w:val="003A50A2"/>
    <w:rsid w:val="003A5110"/>
    <w:rsid w:val="003A5245"/>
    <w:rsid w:val="003A52E9"/>
    <w:rsid w:val="003A5304"/>
    <w:rsid w:val="003A5AEB"/>
    <w:rsid w:val="003A60E0"/>
    <w:rsid w:val="003A6EC4"/>
    <w:rsid w:val="003A70BA"/>
    <w:rsid w:val="003A7ECC"/>
    <w:rsid w:val="003B092A"/>
    <w:rsid w:val="003B0AF2"/>
    <w:rsid w:val="003B0B34"/>
    <w:rsid w:val="003B0EDF"/>
    <w:rsid w:val="003B12AD"/>
    <w:rsid w:val="003B220F"/>
    <w:rsid w:val="003B27AF"/>
    <w:rsid w:val="003B330D"/>
    <w:rsid w:val="003B3593"/>
    <w:rsid w:val="003B3AA3"/>
    <w:rsid w:val="003B3D78"/>
    <w:rsid w:val="003B45B1"/>
    <w:rsid w:val="003B478B"/>
    <w:rsid w:val="003B570F"/>
    <w:rsid w:val="003B6387"/>
    <w:rsid w:val="003B6E43"/>
    <w:rsid w:val="003B7237"/>
    <w:rsid w:val="003C096D"/>
    <w:rsid w:val="003C0E95"/>
    <w:rsid w:val="003C1028"/>
    <w:rsid w:val="003C1653"/>
    <w:rsid w:val="003C205E"/>
    <w:rsid w:val="003C2158"/>
    <w:rsid w:val="003C2208"/>
    <w:rsid w:val="003C2924"/>
    <w:rsid w:val="003C2D1C"/>
    <w:rsid w:val="003C2DFE"/>
    <w:rsid w:val="003C3114"/>
    <w:rsid w:val="003C4254"/>
    <w:rsid w:val="003C4632"/>
    <w:rsid w:val="003C4945"/>
    <w:rsid w:val="003C50AE"/>
    <w:rsid w:val="003C6758"/>
    <w:rsid w:val="003C79A0"/>
    <w:rsid w:val="003D0B54"/>
    <w:rsid w:val="003D25F5"/>
    <w:rsid w:val="003D27CC"/>
    <w:rsid w:val="003D435F"/>
    <w:rsid w:val="003D554F"/>
    <w:rsid w:val="003D5D63"/>
    <w:rsid w:val="003D6A47"/>
    <w:rsid w:val="003D6DF2"/>
    <w:rsid w:val="003D703A"/>
    <w:rsid w:val="003D7146"/>
    <w:rsid w:val="003D748A"/>
    <w:rsid w:val="003D76D8"/>
    <w:rsid w:val="003D7D3E"/>
    <w:rsid w:val="003E04DE"/>
    <w:rsid w:val="003E0E01"/>
    <w:rsid w:val="003E0E9C"/>
    <w:rsid w:val="003E1044"/>
    <w:rsid w:val="003E168D"/>
    <w:rsid w:val="003E1CA9"/>
    <w:rsid w:val="003E22C4"/>
    <w:rsid w:val="003E3A1D"/>
    <w:rsid w:val="003E470E"/>
    <w:rsid w:val="003E4DD3"/>
    <w:rsid w:val="003E657B"/>
    <w:rsid w:val="003E7065"/>
    <w:rsid w:val="003E7485"/>
    <w:rsid w:val="003E7507"/>
    <w:rsid w:val="003E7898"/>
    <w:rsid w:val="003E7CE2"/>
    <w:rsid w:val="003F0597"/>
    <w:rsid w:val="003F107C"/>
    <w:rsid w:val="003F18F7"/>
    <w:rsid w:val="003F1E9D"/>
    <w:rsid w:val="003F362B"/>
    <w:rsid w:val="003F3656"/>
    <w:rsid w:val="003F3B02"/>
    <w:rsid w:val="003F3BF4"/>
    <w:rsid w:val="003F3FAF"/>
    <w:rsid w:val="003F670D"/>
    <w:rsid w:val="003F7B32"/>
    <w:rsid w:val="00400110"/>
    <w:rsid w:val="00400526"/>
    <w:rsid w:val="00400983"/>
    <w:rsid w:val="00401990"/>
    <w:rsid w:val="00403ED5"/>
    <w:rsid w:val="0040459B"/>
    <w:rsid w:val="00404C21"/>
    <w:rsid w:val="00405294"/>
    <w:rsid w:val="004054B1"/>
    <w:rsid w:val="00405940"/>
    <w:rsid w:val="00405B58"/>
    <w:rsid w:val="00406A51"/>
    <w:rsid w:val="004074DD"/>
    <w:rsid w:val="00407696"/>
    <w:rsid w:val="004105E0"/>
    <w:rsid w:val="0041160A"/>
    <w:rsid w:val="00411F68"/>
    <w:rsid w:val="00412740"/>
    <w:rsid w:val="00413F4D"/>
    <w:rsid w:val="0041457A"/>
    <w:rsid w:val="004153FC"/>
    <w:rsid w:val="004158F0"/>
    <w:rsid w:val="00416547"/>
    <w:rsid w:val="004166F7"/>
    <w:rsid w:val="00416870"/>
    <w:rsid w:val="00417308"/>
    <w:rsid w:val="0041772A"/>
    <w:rsid w:val="0041779B"/>
    <w:rsid w:val="0042017B"/>
    <w:rsid w:val="004208F0"/>
    <w:rsid w:val="00420913"/>
    <w:rsid w:val="00420B43"/>
    <w:rsid w:val="00420D3C"/>
    <w:rsid w:val="004211F6"/>
    <w:rsid w:val="00421A81"/>
    <w:rsid w:val="00422883"/>
    <w:rsid w:val="00422ACC"/>
    <w:rsid w:val="00424BD9"/>
    <w:rsid w:val="00424E25"/>
    <w:rsid w:val="0042529A"/>
    <w:rsid w:val="00425D46"/>
    <w:rsid w:val="00426845"/>
    <w:rsid w:val="00427219"/>
    <w:rsid w:val="004274C1"/>
    <w:rsid w:val="00427977"/>
    <w:rsid w:val="00427B82"/>
    <w:rsid w:val="00430234"/>
    <w:rsid w:val="00431767"/>
    <w:rsid w:val="00431E4B"/>
    <w:rsid w:val="0043207F"/>
    <w:rsid w:val="0043296A"/>
    <w:rsid w:val="00433CB2"/>
    <w:rsid w:val="00434700"/>
    <w:rsid w:val="00434E44"/>
    <w:rsid w:val="00434E64"/>
    <w:rsid w:val="00435604"/>
    <w:rsid w:val="00435631"/>
    <w:rsid w:val="00435C79"/>
    <w:rsid w:val="004367EF"/>
    <w:rsid w:val="0043688A"/>
    <w:rsid w:val="00436F71"/>
    <w:rsid w:val="0043785F"/>
    <w:rsid w:val="00437CA2"/>
    <w:rsid w:val="004409C3"/>
    <w:rsid w:val="00440B2D"/>
    <w:rsid w:val="00440D16"/>
    <w:rsid w:val="004421AE"/>
    <w:rsid w:val="004421E3"/>
    <w:rsid w:val="004430BB"/>
    <w:rsid w:val="0044331B"/>
    <w:rsid w:val="00443831"/>
    <w:rsid w:val="004442BE"/>
    <w:rsid w:val="00445B5E"/>
    <w:rsid w:val="004468AE"/>
    <w:rsid w:val="00446911"/>
    <w:rsid w:val="00446EA3"/>
    <w:rsid w:val="00450343"/>
    <w:rsid w:val="00450950"/>
    <w:rsid w:val="00450EFF"/>
    <w:rsid w:val="00451043"/>
    <w:rsid w:val="00451104"/>
    <w:rsid w:val="00451534"/>
    <w:rsid w:val="00452F6C"/>
    <w:rsid w:val="004535E1"/>
    <w:rsid w:val="00454144"/>
    <w:rsid w:val="0045422F"/>
    <w:rsid w:val="0045433C"/>
    <w:rsid w:val="0045471C"/>
    <w:rsid w:val="0045473B"/>
    <w:rsid w:val="00457115"/>
    <w:rsid w:val="00460705"/>
    <w:rsid w:val="00460A24"/>
    <w:rsid w:val="00460BC9"/>
    <w:rsid w:val="0046151F"/>
    <w:rsid w:val="00462AA7"/>
    <w:rsid w:val="00463AB6"/>
    <w:rsid w:val="00464052"/>
    <w:rsid w:val="00464102"/>
    <w:rsid w:val="00465799"/>
    <w:rsid w:val="0046586B"/>
    <w:rsid w:val="004660F5"/>
    <w:rsid w:val="004665E2"/>
    <w:rsid w:val="0046675F"/>
    <w:rsid w:val="004674F7"/>
    <w:rsid w:val="00470219"/>
    <w:rsid w:val="00470256"/>
    <w:rsid w:val="004704F9"/>
    <w:rsid w:val="00470847"/>
    <w:rsid w:val="004708C0"/>
    <w:rsid w:val="00471039"/>
    <w:rsid w:val="00471447"/>
    <w:rsid w:val="00471B70"/>
    <w:rsid w:val="00471D1D"/>
    <w:rsid w:val="00471D33"/>
    <w:rsid w:val="0047220A"/>
    <w:rsid w:val="004726C0"/>
    <w:rsid w:val="0047271F"/>
    <w:rsid w:val="004728D6"/>
    <w:rsid w:val="00472EDA"/>
    <w:rsid w:val="004732C6"/>
    <w:rsid w:val="00473ED5"/>
    <w:rsid w:val="004744E1"/>
    <w:rsid w:val="00474682"/>
    <w:rsid w:val="004758DE"/>
    <w:rsid w:val="00475AE3"/>
    <w:rsid w:val="00475F4B"/>
    <w:rsid w:val="004769C3"/>
    <w:rsid w:val="00477159"/>
    <w:rsid w:val="00477B88"/>
    <w:rsid w:val="00480253"/>
    <w:rsid w:val="004805D6"/>
    <w:rsid w:val="00480B8A"/>
    <w:rsid w:val="00481C22"/>
    <w:rsid w:val="004825A3"/>
    <w:rsid w:val="00482DFE"/>
    <w:rsid w:val="004834BC"/>
    <w:rsid w:val="00484AD3"/>
    <w:rsid w:val="004851EA"/>
    <w:rsid w:val="0048573D"/>
    <w:rsid w:val="00485A63"/>
    <w:rsid w:val="004868DB"/>
    <w:rsid w:val="00486BF3"/>
    <w:rsid w:val="004872D2"/>
    <w:rsid w:val="00487AE4"/>
    <w:rsid w:val="00490B11"/>
    <w:rsid w:val="00490E21"/>
    <w:rsid w:val="00491AFA"/>
    <w:rsid w:val="00491FB6"/>
    <w:rsid w:val="004931A3"/>
    <w:rsid w:val="00493412"/>
    <w:rsid w:val="00493C3D"/>
    <w:rsid w:val="00495348"/>
    <w:rsid w:val="0049640D"/>
    <w:rsid w:val="00497168"/>
    <w:rsid w:val="004972DE"/>
    <w:rsid w:val="004972E4"/>
    <w:rsid w:val="00497732"/>
    <w:rsid w:val="00497984"/>
    <w:rsid w:val="00497C57"/>
    <w:rsid w:val="00497D4F"/>
    <w:rsid w:val="004A02DC"/>
    <w:rsid w:val="004A0C09"/>
    <w:rsid w:val="004A126D"/>
    <w:rsid w:val="004A2333"/>
    <w:rsid w:val="004A29E4"/>
    <w:rsid w:val="004A32F1"/>
    <w:rsid w:val="004A33E9"/>
    <w:rsid w:val="004A371F"/>
    <w:rsid w:val="004A3EA6"/>
    <w:rsid w:val="004A3ECA"/>
    <w:rsid w:val="004A4BF6"/>
    <w:rsid w:val="004A5001"/>
    <w:rsid w:val="004A590B"/>
    <w:rsid w:val="004A5D5B"/>
    <w:rsid w:val="004A69AD"/>
    <w:rsid w:val="004A6D0D"/>
    <w:rsid w:val="004B04C6"/>
    <w:rsid w:val="004B08D3"/>
    <w:rsid w:val="004B1613"/>
    <w:rsid w:val="004B2572"/>
    <w:rsid w:val="004B2685"/>
    <w:rsid w:val="004B35F7"/>
    <w:rsid w:val="004B3D4B"/>
    <w:rsid w:val="004B3E3D"/>
    <w:rsid w:val="004B4273"/>
    <w:rsid w:val="004B4E32"/>
    <w:rsid w:val="004B5321"/>
    <w:rsid w:val="004B5383"/>
    <w:rsid w:val="004B64B5"/>
    <w:rsid w:val="004B7076"/>
    <w:rsid w:val="004B74AF"/>
    <w:rsid w:val="004C049D"/>
    <w:rsid w:val="004C1FC8"/>
    <w:rsid w:val="004C202B"/>
    <w:rsid w:val="004C26B8"/>
    <w:rsid w:val="004C26D2"/>
    <w:rsid w:val="004C4444"/>
    <w:rsid w:val="004C4CB2"/>
    <w:rsid w:val="004C4D5D"/>
    <w:rsid w:val="004C5924"/>
    <w:rsid w:val="004C5F79"/>
    <w:rsid w:val="004C612A"/>
    <w:rsid w:val="004C637F"/>
    <w:rsid w:val="004C722F"/>
    <w:rsid w:val="004C7237"/>
    <w:rsid w:val="004D03FA"/>
    <w:rsid w:val="004D07E5"/>
    <w:rsid w:val="004D14A8"/>
    <w:rsid w:val="004D2992"/>
    <w:rsid w:val="004D2BAF"/>
    <w:rsid w:val="004D2C10"/>
    <w:rsid w:val="004D3202"/>
    <w:rsid w:val="004D469E"/>
    <w:rsid w:val="004D4741"/>
    <w:rsid w:val="004D48A5"/>
    <w:rsid w:val="004D4B44"/>
    <w:rsid w:val="004D4E20"/>
    <w:rsid w:val="004D6730"/>
    <w:rsid w:val="004D7FEA"/>
    <w:rsid w:val="004E0C6B"/>
    <w:rsid w:val="004E0D06"/>
    <w:rsid w:val="004E183B"/>
    <w:rsid w:val="004E1C62"/>
    <w:rsid w:val="004E2497"/>
    <w:rsid w:val="004E24BC"/>
    <w:rsid w:val="004E2DFB"/>
    <w:rsid w:val="004E3363"/>
    <w:rsid w:val="004E3D51"/>
    <w:rsid w:val="004E3F63"/>
    <w:rsid w:val="004E4F5A"/>
    <w:rsid w:val="004E5131"/>
    <w:rsid w:val="004E5520"/>
    <w:rsid w:val="004E55BA"/>
    <w:rsid w:val="004E565E"/>
    <w:rsid w:val="004E67DD"/>
    <w:rsid w:val="004E7840"/>
    <w:rsid w:val="004E791A"/>
    <w:rsid w:val="004F02EA"/>
    <w:rsid w:val="004F07EF"/>
    <w:rsid w:val="004F0AE6"/>
    <w:rsid w:val="004F0C24"/>
    <w:rsid w:val="004F16D1"/>
    <w:rsid w:val="004F18F6"/>
    <w:rsid w:val="004F1AD1"/>
    <w:rsid w:val="004F344E"/>
    <w:rsid w:val="004F370D"/>
    <w:rsid w:val="004F3CFC"/>
    <w:rsid w:val="004F4A05"/>
    <w:rsid w:val="004F52B4"/>
    <w:rsid w:val="004F59BE"/>
    <w:rsid w:val="004F5D8B"/>
    <w:rsid w:val="004F63DF"/>
    <w:rsid w:val="004F6CAB"/>
    <w:rsid w:val="004F7887"/>
    <w:rsid w:val="004F79B7"/>
    <w:rsid w:val="005008CC"/>
    <w:rsid w:val="005010D2"/>
    <w:rsid w:val="005016B0"/>
    <w:rsid w:val="00501D0E"/>
    <w:rsid w:val="0050202E"/>
    <w:rsid w:val="00502774"/>
    <w:rsid w:val="00503B05"/>
    <w:rsid w:val="00503DFC"/>
    <w:rsid w:val="00503F34"/>
    <w:rsid w:val="005041F1"/>
    <w:rsid w:val="00504901"/>
    <w:rsid w:val="00504C1B"/>
    <w:rsid w:val="005063ED"/>
    <w:rsid w:val="0050642C"/>
    <w:rsid w:val="00506B0A"/>
    <w:rsid w:val="00506B3B"/>
    <w:rsid w:val="00506BF3"/>
    <w:rsid w:val="00506E8E"/>
    <w:rsid w:val="00507250"/>
    <w:rsid w:val="005076C2"/>
    <w:rsid w:val="00507FF6"/>
    <w:rsid w:val="00510671"/>
    <w:rsid w:val="00510B87"/>
    <w:rsid w:val="00511346"/>
    <w:rsid w:val="00511BC9"/>
    <w:rsid w:val="00511C57"/>
    <w:rsid w:val="0051274C"/>
    <w:rsid w:val="005128B6"/>
    <w:rsid w:val="00512E54"/>
    <w:rsid w:val="00513932"/>
    <w:rsid w:val="00513F5E"/>
    <w:rsid w:val="00514271"/>
    <w:rsid w:val="005148A3"/>
    <w:rsid w:val="00514F62"/>
    <w:rsid w:val="00515560"/>
    <w:rsid w:val="00516548"/>
    <w:rsid w:val="00517831"/>
    <w:rsid w:val="005216FD"/>
    <w:rsid w:val="00522232"/>
    <w:rsid w:val="00522383"/>
    <w:rsid w:val="005228C3"/>
    <w:rsid w:val="0052315E"/>
    <w:rsid w:val="005231BF"/>
    <w:rsid w:val="005234AF"/>
    <w:rsid w:val="00525787"/>
    <w:rsid w:val="00525DF4"/>
    <w:rsid w:val="0052705D"/>
    <w:rsid w:val="005270A5"/>
    <w:rsid w:val="005271CF"/>
    <w:rsid w:val="00527651"/>
    <w:rsid w:val="00530D42"/>
    <w:rsid w:val="00530E86"/>
    <w:rsid w:val="00530E90"/>
    <w:rsid w:val="00531247"/>
    <w:rsid w:val="005314AC"/>
    <w:rsid w:val="00531A41"/>
    <w:rsid w:val="005325CC"/>
    <w:rsid w:val="005335C3"/>
    <w:rsid w:val="005346FE"/>
    <w:rsid w:val="00534965"/>
    <w:rsid w:val="00534ECB"/>
    <w:rsid w:val="005358B4"/>
    <w:rsid w:val="0054064D"/>
    <w:rsid w:val="005406FD"/>
    <w:rsid w:val="0054089B"/>
    <w:rsid w:val="00540AC5"/>
    <w:rsid w:val="00540BE7"/>
    <w:rsid w:val="005426C2"/>
    <w:rsid w:val="005429BE"/>
    <w:rsid w:val="00542A11"/>
    <w:rsid w:val="00545A36"/>
    <w:rsid w:val="00546559"/>
    <w:rsid w:val="005465E0"/>
    <w:rsid w:val="005467EB"/>
    <w:rsid w:val="00546AA5"/>
    <w:rsid w:val="00547601"/>
    <w:rsid w:val="00547BA0"/>
    <w:rsid w:val="0055015D"/>
    <w:rsid w:val="0055058D"/>
    <w:rsid w:val="00550895"/>
    <w:rsid w:val="00551FFF"/>
    <w:rsid w:val="00553EB0"/>
    <w:rsid w:val="0055426F"/>
    <w:rsid w:val="00554678"/>
    <w:rsid w:val="00555222"/>
    <w:rsid w:val="00557809"/>
    <w:rsid w:val="00557C85"/>
    <w:rsid w:val="00560C19"/>
    <w:rsid w:val="00560ED1"/>
    <w:rsid w:val="00561B7D"/>
    <w:rsid w:val="00562D36"/>
    <w:rsid w:val="00562E23"/>
    <w:rsid w:val="00563170"/>
    <w:rsid w:val="00564F63"/>
    <w:rsid w:val="00565E32"/>
    <w:rsid w:val="005665B1"/>
    <w:rsid w:val="0056722B"/>
    <w:rsid w:val="00567C21"/>
    <w:rsid w:val="00567CDC"/>
    <w:rsid w:val="00570837"/>
    <w:rsid w:val="00570BDD"/>
    <w:rsid w:val="00572558"/>
    <w:rsid w:val="00573060"/>
    <w:rsid w:val="005736A0"/>
    <w:rsid w:val="00573821"/>
    <w:rsid w:val="0057388C"/>
    <w:rsid w:val="0057413F"/>
    <w:rsid w:val="00574A2F"/>
    <w:rsid w:val="00575E3A"/>
    <w:rsid w:val="0057657D"/>
    <w:rsid w:val="00576614"/>
    <w:rsid w:val="005768F3"/>
    <w:rsid w:val="00576E52"/>
    <w:rsid w:val="005776D2"/>
    <w:rsid w:val="00577957"/>
    <w:rsid w:val="00577C14"/>
    <w:rsid w:val="00580123"/>
    <w:rsid w:val="005802BF"/>
    <w:rsid w:val="0058095C"/>
    <w:rsid w:val="00580F2D"/>
    <w:rsid w:val="00581039"/>
    <w:rsid w:val="005814AC"/>
    <w:rsid w:val="00581D56"/>
    <w:rsid w:val="00581E19"/>
    <w:rsid w:val="00582246"/>
    <w:rsid w:val="00582436"/>
    <w:rsid w:val="0058309C"/>
    <w:rsid w:val="00584093"/>
    <w:rsid w:val="0058425B"/>
    <w:rsid w:val="00584758"/>
    <w:rsid w:val="00585AB6"/>
    <w:rsid w:val="00585AD7"/>
    <w:rsid w:val="00585C38"/>
    <w:rsid w:val="00585D17"/>
    <w:rsid w:val="00586018"/>
    <w:rsid w:val="00586FA1"/>
    <w:rsid w:val="0058707E"/>
    <w:rsid w:val="005879B7"/>
    <w:rsid w:val="005926A9"/>
    <w:rsid w:val="005926FE"/>
    <w:rsid w:val="00593133"/>
    <w:rsid w:val="00593A64"/>
    <w:rsid w:val="00593B3D"/>
    <w:rsid w:val="00593F1C"/>
    <w:rsid w:val="00594585"/>
    <w:rsid w:val="005950FE"/>
    <w:rsid w:val="00596CE0"/>
    <w:rsid w:val="00597509"/>
    <w:rsid w:val="00597CC7"/>
    <w:rsid w:val="005A0745"/>
    <w:rsid w:val="005A23B8"/>
    <w:rsid w:val="005A27B6"/>
    <w:rsid w:val="005A2E34"/>
    <w:rsid w:val="005A3212"/>
    <w:rsid w:val="005A3289"/>
    <w:rsid w:val="005A36A6"/>
    <w:rsid w:val="005A4372"/>
    <w:rsid w:val="005A4BB0"/>
    <w:rsid w:val="005A5697"/>
    <w:rsid w:val="005A5FB6"/>
    <w:rsid w:val="005A60A1"/>
    <w:rsid w:val="005A6369"/>
    <w:rsid w:val="005A6B2B"/>
    <w:rsid w:val="005A6F1D"/>
    <w:rsid w:val="005A7C0B"/>
    <w:rsid w:val="005A7EB7"/>
    <w:rsid w:val="005B02B8"/>
    <w:rsid w:val="005B02E3"/>
    <w:rsid w:val="005B09C4"/>
    <w:rsid w:val="005B0A27"/>
    <w:rsid w:val="005B1014"/>
    <w:rsid w:val="005B1521"/>
    <w:rsid w:val="005B325E"/>
    <w:rsid w:val="005B33EC"/>
    <w:rsid w:val="005B445D"/>
    <w:rsid w:val="005B5097"/>
    <w:rsid w:val="005B6768"/>
    <w:rsid w:val="005B6912"/>
    <w:rsid w:val="005B6C42"/>
    <w:rsid w:val="005B6FD5"/>
    <w:rsid w:val="005B71BC"/>
    <w:rsid w:val="005B77A5"/>
    <w:rsid w:val="005C01F5"/>
    <w:rsid w:val="005C029D"/>
    <w:rsid w:val="005C1110"/>
    <w:rsid w:val="005C1739"/>
    <w:rsid w:val="005C2B41"/>
    <w:rsid w:val="005C2EDD"/>
    <w:rsid w:val="005C331A"/>
    <w:rsid w:val="005C33EA"/>
    <w:rsid w:val="005C3832"/>
    <w:rsid w:val="005C41EB"/>
    <w:rsid w:val="005C473B"/>
    <w:rsid w:val="005C595F"/>
    <w:rsid w:val="005C5BF2"/>
    <w:rsid w:val="005C68C9"/>
    <w:rsid w:val="005D0118"/>
    <w:rsid w:val="005D02B0"/>
    <w:rsid w:val="005D0483"/>
    <w:rsid w:val="005D0680"/>
    <w:rsid w:val="005D07D9"/>
    <w:rsid w:val="005D0F3E"/>
    <w:rsid w:val="005D1941"/>
    <w:rsid w:val="005D1BE9"/>
    <w:rsid w:val="005D238E"/>
    <w:rsid w:val="005D2895"/>
    <w:rsid w:val="005D3956"/>
    <w:rsid w:val="005D3CAB"/>
    <w:rsid w:val="005D3E5E"/>
    <w:rsid w:val="005D3EA9"/>
    <w:rsid w:val="005D44DC"/>
    <w:rsid w:val="005D466C"/>
    <w:rsid w:val="005D5B33"/>
    <w:rsid w:val="005D5DB2"/>
    <w:rsid w:val="005D63D7"/>
    <w:rsid w:val="005D6464"/>
    <w:rsid w:val="005D6C02"/>
    <w:rsid w:val="005D6FB7"/>
    <w:rsid w:val="005D733B"/>
    <w:rsid w:val="005D7830"/>
    <w:rsid w:val="005D7D69"/>
    <w:rsid w:val="005D7E3C"/>
    <w:rsid w:val="005E05A8"/>
    <w:rsid w:val="005E180C"/>
    <w:rsid w:val="005E1D4B"/>
    <w:rsid w:val="005E2168"/>
    <w:rsid w:val="005E22C7"/>
    <w:rsid w:val="005E2815"/>
    <w:rsid w:val="005E2EB3"/>
    <w:rsid w:val="005E3E9B"/>
    <w:rsid w:val="005E400D"/>
    <w:rsid w:val="005E4FD6"/>
    <w:rsid w:val="005E5415"/>
    <w:rsid w:val="005E59F9"/>
    <w:rsid w:val="005E5D06"/>
    <w:rsid w:val="005E5EBF"/>
    <w:rsid w:val="005E6632"/>
    <w:rsid w:val="005F01B6"/>
    <w:rsid w:val="005F0D2E"/>
    <w:rsid w:val="005F1F0E"/>
    <w:rsid w:val="005F1FC0"/>
    <w:rsid w:val="005F2467"/>
    <w:rsid w:val="005F2E1B"/>
    <w:rsid w:val="005F3BED"/>
    <w:rsid w:val="005F3E46"/>
    <w:rsid w:val="005F3E4D"/>
    <w:rsid w:val="005F4616"/>
    <w:rsid w:val="005F5357"/>
    <w:rsid w:val="005F5404"/>
    <w:rsid w:val="005F72D8"/>
    <w:rsid w:val="00600D77"/>
    <w:rsid w:val="00600D95"/>
    <w:rsid w:val="006013E0"/>
    <w:rsid w:val="006031AF"/>
    <w:rsid w:val="006041E2"/>
    <w:rsid w:val="006066F1"/>
    <w:rsid w:val="00606A68"/>
    <w:rsid w:val="00607796"/>
    <w:rsid w:val="006078F5"/>
    <w:rsid w:val="0061222E"/>
    <w:rsid w:val="006137C3"/>
    <w:rsid w:val="00613A81"/>
    <w:rsid w:val="00613B5D"/>
    <w:rsid w:val="00615041"/>
    <w:rsid w:val="0061649F"/>
    <w:rsid w:val="00616BA1"/>
    <w:rsid w:val="006170EF"/>
    <w:rsid w:val="00617A67"/>
    <w:rsid w:val="00617BEB"/>
    <w:rsid w:val="00621856"/>
    <w:rsid w:val="00622CF0"/>
    <w:rsid w:val="00623440"/>
    <w:rsid w:val="00623925"/>
    <w:rsid w:val="006240DA"/>
    <w:rsid w:val="00624689"/>
    <w:rsid w:val="00624CE0"/>
    <w:rsid w:val="00624EBB"/>
    <w:rsid w:val="00625499"/>
    <w:rsid w:val="00626C37"/>
    <w:rsid w:val="00626FDF"/>
    <w:rsid w:val="00627948"/>
    <w:rsid w:val="006279EF"/>
    <w:rsid w:val="00627C24"/>
    <w:rsid w:val="0063078B"/>
    <w:rsid w:val="00630D99"/>
    <w:rsid w:val="0063159E"/>
    <w:rsid w:val="00631648"/>
    <w:rsid w:val="006318E1"/>
    <w:rsid w:val="00631A6E"/>
    <w:rsid w:val="006332C7"/>
    <w:rsid w:val="00633518"/>
    <w:rsid w:val="00633DBA"/>
    <w:rsid w:val="00633F5E"/>
    <w:rsid w:val="00634247"/>
    <w:rsid w:val="0063428A"/>
    <w:rsid w:val="00634856"/>
    <w:rsid w:val="00634C05"/>
    <w:rsid w:val="00635858"/>
    <w:rsid w:val="00635BAA"/>
    <w:rsid w:val="00636540"/>
    <w:rsid w:val="00636DBD"/>
    <w:rsid w:val="00636E2D"/>
    <w:rsid w:val="00637056"/>
    <w:rsid w:val="0064120B"/>
    <w:rsid w:val="00641433"/>
    <w:rsid w:val="00641937"/>
    <w:rsid w:val="00642021"/>
    <w:rsid w:val="0064218D"/>
    <w:rsid w:val="00642A99"/>
    <w:rsid w:val="00642FBC"/>
    <w:rsid w:val="0064322F"/>
    <w:rsid w:val="00644E45"/>
    <w:rsid w:val="00645377"/>
    <w:rsid w:val="0064643D"/>
    <w:rsid w:val="00646954"/>
    <w:rsid w:val="006473DB"/>
    <w:rsid w:val="0064773C"/>
    <w:rsid w:val="00647784"/>
    <w:rsid w:val="00647BE8"/>
    <w:rsid w:val="0065045C"/>
    <w:rsid w:val="00651154"/>
    <w:rsid w:val="006514F8"/>
    <w:rsid w:val="00651A47"/>
    <w:rsid w:val="00652533"/>
    <w:rsid w:val="00652BA1"/>
    <w:rsid w:val="0065300A"/>
    <w:rsid w:val="0065327D"/>
    <w:rsid w:val="00653B2B"/>
    <w:rsid w:val="00653B79"/>
    <w:rsid w:val="00654BBD"/>
    <w:rsid w:val="006550AF"/>
    <w:rsid w:val="006551E0"/>
    <w:rsid w:val="006559CC"/>
    <w:rsid w:val="00655B47"/>
    <w:rsid w:val="00655B8C"/>
    <w:rsid w:val="006575AC"/>
    <w:rsid w:val="00657C7C"/>
    <w:rsid w:val="00657DDA"/>
    <w:rsid w:val="0066023F"/>
    <w:rsid w:val="0066027B"/>
    <w:rsid w:val="00660442"/>
    <w:rsid w:val="00660A7D"/>
    <w:rsid w:val="0066108F"/>
    <w:rsid w:val="00661441"/>
    <w:rsid w:val="0066175C"/>
    <w:rsid w:val="006617C3"/>
    <w:rsid w:val="00661962"/>
    <w:rsid w:val="00661A4E"/>
    <w:rsid w:val="006620AD"/>
    <w:rsid w:val="00663397"/>
    <w:rsid w:val="00663FAD"/>
    <w:rsid w:val="006656A6"/>
    <w:rsid w:val="00665ECF"/>
    <w:rsid w:val="0066619E"/>
    <w:rsid w:val="00667089"/>
    <w:rsid w:val="00671777"/>
    <w:rsid w:val="006717A3"/>
    <w:rsid w:val="00671ECF"/>
    <w:rsid w:val="00672383"/>
    <w:rsid w:val="0067261D"/>
    <w:rsid w:val="006727AC"/>
    <w:rsid w:val="00672A2B"/>
    <w:rsid w:val="00672FEF"/>
    <w:rsid w:val="0067484C"/>
    <w:rsid w:val="00675156"/>
    <w:rsid w:val="006754A3"/>
    <w:rsid w:val="0067782A"/>
    <w:rsid w:val="0068033A"/>
    <w:rsid w:val="00680AAE"/>
    <w:rsid w:val="0068173C"/>
    <w:rsid w:val="006817AF"/>
    <w:rsid w:val="006820FF"/>
    <w:rsid w:val="00682184"/>
    <w:rsid w:val="006821CC"/>
    <w:rsid w:val="0068256D"/>
    <w:rsid w:val="00682795"/>
    <w:rsid w:val="00683592"/>
    <w:rsid w:val="006836AA"/>
    <w:rsid w:val="00683796"/>
    <w:rsid w:val="00684C07"/>
    <w:rsid w:val="0068542B"/>
    <w:rsid w:val="00685467"/>
    <w:rsid w:val="00685E82"/>
    <w:rsid w:val="006864D5"/>
    <w:rsid w:val="00686596"/>
    <w:rsid w:val="00686868"/>
    <w:rsid w:val="00686CA3"/>
    <w:rsid w:val="00687097"/>
    <w:rsid w:val="00687307"/>
    <w:rsid w:val="0069013E"/>
    <w:rsid w:val="006905FD"/>
    <w:rsid w:val="00690E47"/>
    <w:rsid w:val="00691370"/>
    <w:rsid w:val="0069195E"/>
    <w:rsid w:val="00691E3B"/>
    <w:rsid w:val="00692444"/>
    <w:rsid w:val="00693383"/>
    <w:rsid w:val="006934E4"/>
    <w:rsid w:val="00693D6C"/>
    <w:rsid w:val="006945C1"/>
    <w:rsid w:val="006946EF"/>
    <w:rsid w:val="00695A2C"/>
    <w:rsid w:val="00696BA6"/>
    <w:rsid w:val="006975E3"/>
    <w:rsid w:val="0069760B"/>
    <w:rsid w:val="0069792B"/>
    <w:rsid w:val="00697B51"/>
    <w:rsid w:val="00697E8F"/>
    <w:rsid w:val="006A0433"/>
    <w:rsid w:val="006A0757"/>
    <w:rsid w:val="006A08BD"/>
    <w:rsid w:val="006A0913"/>
    <w:rsid w:val="006A0BB6"/>
    <w:rsid w:val="006A0CA6"/>
    <w:rsid w:val="006A1512"/>
    <w:rsid w:val="006A18F3"/>
    <w:rsid w:val="006A1ECF"/>
    <w:rsid w:val="006A230B"/>
    <w:rsid w:val="006A351A"/>
    <w:rsid w:val="006A3B5A"/>
    <w:rsid w:val="006A411A"/>
    <w:rsid w:val="006A552D"/>
    <w:rsid w:val="006A5708"/>
    <w:rsid w:val="006A5A1C"/>
    <w:rsid w:val="006A6B2C"/>
    <w:rsid w:val="006A6D52"/>
    <w:rsid w:val="006A77FC"/>
    <w:rsid w:val="006A7BD0"/>
    <w:rsid w:val="006B0266"/>
    <w:rsid w:val="006B11E8"/>
    <w:rsid w:val="006B12D2"/>
    <w:rsid w:val="006B14FF"/>
    <w:rsid w:val="006B1FC1"/>
    <w:rsid w:val="006B2086"/>
    <w:rsid w:val="006B2CA2"/>
    <w:rsid w:val="006B3C2A"/>
    <w:rsid w:val="006B695F"/>
    <w:rsid w:val="006B6E07"/>
    <w:rsid w:val="006B6E0B"/>
    <w:rsid w:val="006B780E"/>
    <w:rsid w:val="006B7ED4"/>
    <w:rsid w:val="006C0202"/>
    <w:rsid w:val="006C0438"/>
    <w:rsid w:val="006C0465"/>
    <w:rsid w:val="006C0877"/>
    <w:rsid w:val="006C09E5"/>
    <w:rsid w:val="006C0CD4"/>
    <w:rsid w:val="006C1139"/>
    <w:rsid w:val="006C15C1"/>
    <w:rsid w:val="006C15D0"/>
    <w:rsid w:val="006C1649"/>
    <w:rsid w:val="006C1ABB"/>
    <w:rsid w:val="006C2082"/>
    <w:rsid w:val="006C2BF9"/>
    <w:rsid w:val="006C2CF5"/>
    <w:rsid w:val="006C31B7"/>
    <w:rsid w:val="006C39DF"/>
    <w:rsid w:val="006C3B01"/>
    <w:rsid w:val="006C434A"/>
    <w:rsid w:val="006C4C14"/>
    <w:rsid w:val="006C60A7"/>
    <w:rsid w:val="006C6BFF"/>
    <w:rsid w:val="006C7006"/>
    <w:rsid w:val="006C770A"/>
    <w:rsid w:val="006C7D09"/>
    <w:rsid w:val="006D0BD2"/>
    <w:rsid w:val="006D0C10"/>
    <w:rsid w:val="006D0E54"/>
    <w:rsid w:val="006D23F8"/>
    <w:rsid w:val="006D2675"/>
    <w:rsid w:val="006D3119"/>
    <w:rsid w:val="006D50CD"/>
    <w:rsid w:val="006D5C60"/>
    <w:rsid w:val="006D63AB"/>
    <w:rsid w:val="006D68DC"/>
    <w:rsid w:val="006D7C72"/>
    <w:rsid w:val="006E004B"/>
    <w:rsid w:val="006E1197"/>
    <w:rsid w:val="006E15E3"/>
    <w:rsid w:val="006E17ED"/>
    <w:rsid w:val="006E2B29"/>
    <w:rsid w:val="006E2BE2"/>
    <w:rsid w:val="006E2F48"/>
    <w:rsid w:val="006E3028"/>
    <w:rsid w:val="006E3061"/>
    <w:rsid w:val="006E3C78"/>
    <w:rsid w:val="006E3F95"/>
    <w:rsid w:val="006E4152"/>
    <w:rsid w:val="006E51CE"/>
    <w:rsid w:val="006E54CD"/>
    <w:rsid w:val="006E6238"/>
    <w:rsid w:val="006E738B"/>
    <w:rsid w:val="006E743A"/>
    <w:rsid w:val="006E7C49"/>
    <w:rsid w:val="006E7EE4"/>
    <w:rsid w:val="006F0457"/>
    <w:rsid w:val="006F0688"/>
    <w:rsid w:val="006F0D13"/>
    <w:rsid w:val="006F0E4F"/>
    <w:rsid w:val="006F193E"/>
    <w:rsid w:val="006F1D72"/>
    <w:rsid w:val="006F2C8F"/>
    <w:rsid w:val="006F2FA8"/>
    <w:rsid w:val="006F304C"/>
    <w:rsid w:val="006F31BB"/>
    <w:rsid w:val="006F3583"/>
    <w:rsid w:val="006F3EDF"/>
    <w:rsid w:val="006F62E6"/>
    <w:rsid w:val="006F6A79"/>
    <w:rsid w:val="006F794A"/>
    <w:rsid w:val="006F7D06"/>
    <w:rsid w:val="0070068D"/>
    <w:rsid w:val="00700954"/>
    <w:rsid w:val="007034D0"/>
    <w:rsid w:val="00705643"/>
    <w:rsid w:val="00705867"/>
    <w:rsid w:val="00705BCE"/>
    <w:rsid w:val="007067B6"/>
    <w:rsid w:val="00706F3D"/>
    <w:rsid w:val="00707120"/>
    <w:rsid w:val="00707360"/>
    <w:rsid w:val="00707602"/>
    <w:rsid w:val="007101B4"/>
    <w:rsid w:val="00710424"/>
    <w:rsid w:val="00710591"/>
    <w:rsid w:val="00710D71"/>
    <w:rsid w:val="007114B7"/>
    <w:rsid w:val="007119A5"/>
    <w:rsid w:val="00711ED0"/>
    <w:rsid w:val="007122EA"/>
    <w:rsid w:val="007125AF"/>
    <w:rsid w:val="00712B97"/>
    <w:rsid w:val="0071373B"/>
    <w:rsid w:val="007137CC"/>
    <w:rsid w:val="00714273"/>
    <w:rsid w:val="007143DA"/>
    <w:rsid w:val="00714B40"/>
    <w:rsid w:val="00714E60"/>
    <w:rsid w:val="00715DF7"/>
    <w:rsid w:val="00715FBB"/>
    <w:rsid w:val="00716AC6"/>
    <w:rsid w:val="00716E1D"/>
    <w:rsid w:val="00717305"/>
    <w:rsid w:val="00717A01"/>
    <w:rsid w:val="00720767"/>
    <w:rsid w:val="0072177C"/>
    <w:rsid w:val="00721B0F"/>
    <w:rsid w:val="00722189"/>
    <w:rsid w:val="007224D0"/>
    <w:rsid w:val="00722F6F"/>
    <w:rsid w:val="00723405"/>
    <w:rsid w:val="00723882"/>
    <w:rsid w:val="007241BC"/>
    <w:rsid w:val="00724CEF"/>
    <w:rsid w:val="00725C97"/>
    <w:rsid w:val="0072706F"/>
    <w:rsid w:val="00727137"/>
    <w:rsid w:val="00727A17"/>
    <w:rsid w:val="00727BBA"/>
    <w:rsid w:val="007325A2"/>
    <w:rsid w:val="00732857"/>
    <w:rsid w:val="007328CF"/>
    <w:rsid w:val="00732D99"/>
    <w:rsid w:val="0073492C"/>
    <w:rsid w:val="00735048"/>
    <w:rsid w:val="00735526"/>
    <w:rsid w:val="007355D2"/>
    <w:rsid w:val="007360D9"/>
    <w:rsid w:val="00740BD9"/>
    <w:rsid w:val="00741BD7"/>
    <w:rsid w:val="00741C47"/>
    <w:rsid w:val="00742AC3"/>
    <w:rsid w:val="00742C5C"/>
    <w:rsid w:val="00743347"/>
    <w:rsid w:val="00743842"/>
    <w:rsid w:val="00743C10"/>
    <w:rsid w:val="00744469"/>
    <w:rsid w:val="00744E00"/>
    <w:rsid w:val="007450B8"/>
    <w:rsid w:val="00745108"/>
    <w:rsid w:val="00745483"/>
    <w:rsid w:val="00745AD8"/>
    <w:rsid w:val="00745DC4"/>
    <w:rsid w:val="0074699A"/>
    <w:rsid w:val="00750029"/>
    <w:rsid w:val="00750300"/>
    <w:rsid w:val="007516A5"/>
    <w:rsid w:val="00751780"/>
    <w:rsid w:val="00751949"/>
    <w:rsid w:val="00751D5F"/>
    <w:rsid w:val="007539E9"/>
    <w:rsid w:val="00753AB7"/>
    <w:rsid w:val="00754325"/>
    <w:rsid w:val="0075581F"/>
    <w:rsid w:val="00756238"/>
    <w:rsid w:val="0075742A"/>
    <w:rsid w:val="00760577"/>
    <w:rsid w:val="00760F13"/>
    <w:rsid w:val="00761915"/>
    <w:rsid w:val="00761A82"/>
    <w:rsid w:val="00761D08"/>
    <w:rsid w:val="00762239"/>
    <w:rsid w:val="00763124"/>
    <w:rsid w:val="00763B79"/>
    <w:rsid w:val="007645FF"/>
    <w:rsid w:val="00765A34"/>
    <w:rsid w:val="00766BC9"/>
    <w:rsid w:val="00766FB9"/>
    <w:rsid w:val="0076762A"/>
    <w:rsid w:val="0076780C"/>
    <w:rsid w:val="00767C96"/>
    <w:rsid w:val="00770188"/>
    <w:rsid w:val="00771DB9"/>
    <w:rsid w:val="007724D5"/>
    <w:rsid w:val="00772D6A"/>
    <w:rsid w:val="00773421"/>
    <w:rsid w:val="00773FE4"/>
    <w:rsid w:val="007745FE"/>
    <w:rsid w:val="00774BE8"/>
    <w:rsid w:val="00774E22"/>
    <w:rsid w:val="00775997"/>
    <w:rsid w:val="0077630F"/>
    <w:rsid w:val="00776ACD"/>
    <w:rsid w:val="00777AFE"/>
    <w:rsid w:val="00777F87"/>
    <w:rsid w:val="00780E61"/>
    <w:rsid w:val="00781B40"/>
    <w:rsid w:val="00781DEE"/>
    <w:rsid w:val="00782F93"/>
    <w:rsid w:val="00783280"/>
    <w:rsid w:val="0078348A"/>
    <w:rsid w:val="0078439E"/>
    <w:rsid w:val="00784FCF"/>
    <w:rsid w:val="0078567D"/>
    <w:rsid w:val="00786307"/>
    <w:rsid w:val="007909B3"/>
    <w:rsid w:val="007926D5"/>
    <w:rsid w:val="007933DD"/>
    <w:rsid w:val="007937C5"/>
    <w:rsid w:val="007942AD"/>
    <w:rsid w:val="00795F00"/>
    <w:rsid w:val="00796363"/>
    <w:rsid w:val="00796BF0"/>
    <w:rsid w:val="00797C38"/>
    <w:rsid w:val="007A00D5"/>
    <w:rsid w:val="007A02DF"/>
    <w:rsid w:val="007A0429"/>
    <w:rsid w:val="007A0E66"/>
    <w:rsid w:val="007A106F"/>
    <w:rsid w:val="007A2498"/>
    <w:rsid w:val="007A24BB"/>
    <w:rsid w:val="007A29D4"/>
    <w:rsid w:val="007A3C20"/>
    <w:rsid w:val="007A4238"/>
    <w:rsid w:val="007A430C"/>
    <w:rsid w:val="007A5BDE"/>
    <w:rsid w:val="007A7334"/>
    <w:rsid w:val="007B062B"/>
    <w:rsid w:val="007B1D47"/>
    <w:rsid w:val="007B1E4F"/>
    <w:rsid w:val="007B2888"/>
    <w:rsid w:val="007B2E46"/>
    <w:rsid w:val="007B348B"/>
    <w:rsid w:val="007B3B43"/>
    <w:rsid w:val="007B4778"/>
    <w:rsid w:val="007B48BA"/>
    <w:rsid w:val="007B4A01"/>
    <w:rsid w:val="007B4AFC"/>
    <w:rsid w:val="007B4F7A"/>
    <w:rsid w:val="007B5150"/>
    <w:rsid w:val="007B601C"/>
    <w:rsid w:val="007B6A7F"/>
    <w:rsid w:val="007B7908"/>
    <w:rsid w:val="007B7955"/>
    <w:rsid w:val="007C11F4"/>
    <w:rsid w:val="007C17FC"/>
    <w:rsid w:val="007C2155"/>
    <w:rsid w:val="007C2C4A"/>
    <w:rsid w:val="007C2DEA"/>
    <w:rsid w:val="007C32BD"/>
    <w:rsid w:val="007C33B5"/>
    <w:rsid w:val="007C34A5"/>
    <w:rsid w:val="007C4CD5"/>
    <w:rsid w:val="007C52B7"/>
    <w:rsid w:val="007C5542"/>
    <w:rsid w:val="007C58E4"/>
    <w:rsid w:val="007C5C1F"/>
    <w:rsid w:val="007C5EDE"/>
    <w:rsid w:val="007C61F7"/>
    <w:rsid w:val="007C6E99"/>
    <w:rsid w:val="007C7142"/>
    <w:rsid w:val="007C7AFB"/>
    <w:rsid w:val="007D01A0"/>
    <w:rsid w:val="007D04AD"/>
    <w:rsid w:val="007D0603"/>
    <w:rsid w:val="007D0A9F"/>
    <w:rsid w:val="007D0D66"/>
    <w:rsid w:val="007D1A82"/>
    <w:rsid w:val="007D25AD"/>
    <w:rsid w:val="007D2A65"/>
    <w:rsid w:val="007D40C4"/>
    <w:rsid w:val="007D41E2"/>
    <w:rsid w:val="007D4ED5"/>
    <w:rsid w:val="007D6641"/>
    <w:rsid w:val="007D7195"/>
    <w:rsid w:val="007D7349"/>
    <w:rsid w:val="007D76C4"/>
    <w:rsid w:val="007D78F4"/>
    <w:rsid w:val="007D7EEF"/>
    <w:rsid w:val="007D7FDE"/>
    <w:rsid w:val="007E05B5"/>
    <w:rsid w:val="007E06E3"/>
    <w:rsid w:val="007E0752"/>
    <w:rsid w:val="007E08B4"/>
    <w:rsid w:val="007E0AC6"/>
    <w:rsid w:val="007E0D7B"/>
    <w:rsid w:val="007E16E6"/>
    <w:rsid w:val="007E32BD"/>
    <w:rsid w:val="007E656C"/>
    <w:rsid w:val="007E6919"/>
    <w:rsid w:val="007E79BB"/>
    <w:rsid w:val="007F09E0"/>
    <w:rsid w:val="007F0EBD"/>
    <w:rsid w:val="007F1437"/>
    <w:rsid w:val="007F2CA7"/>
    <w:rsid w:val="007F2FA3"/>
    <w:rsid w:val="007F312E"/>
    <w:rsid w:val="007F31D9"/>
    <w:rsid w:val="007F353D"/>
    <w:rsid w:val="007F3847"/>
    <w:rsid w:val="007F3890"/>
    <w:rsid w:val="007F3975"/>
    <w:rsid w:val="007F4106"/>
    <w:rsid w:val="007F5D85"/>
    <w:rsid w:val="007F5E32"/>
    <w:rsid w:val="007F664B"/>
    <w:rsid w:val="007F722E"/>
    <w:rsid w:val="007F7693"/>
    <w:rsid w:val="008004F5"/>
    <w:rsid w:val="00800D8F"/>
    <w:rsid w:val="00801868"/>
    <w:rsid w:val="00801956"/>
    <w:rsid w:val="00802183"/>
    <w:rsid w:val="00802A9E"/>
    <w:rsid w:val="00802F87"/>
    <w:rsid w:val="00803155"/>
    <w:rsid w:val="00803A06"/>
    <w:rsid w:val="00806401"/>
    <w:rsid w:val="008073E6"/>
    <w:rsid w:val="00807B58"/>
    <w:rsid w:val="00811BB0"/>
    <w:rsid w:val="00811DBB"/>
    <w:rsid w:val="00812210"/>
    <w:rsid w:val="0081223B"/>
    <w:rsid w:val="00812C84"/>
    <w:rsid w:val="00813336"/>
    <w:rsid w:val="00815AFF"/>
    <w:rsid w:val="00816354"/>
    <w:rsid w:val="00816666"/>
    <w:rsid w:val="00817EBC"/>
    <w:rsid w:val="0082003B"/>
    <w:rsid w:val="00820C60"/>
    <w:rsid w:val="00820E63"/>
    <w:rsid w:val="00821160"/>
    <w:rsid w:val="0082184D"/>
    <w:rsid w:val="00821983"/>
    <w:rsid w:val="0082199A"/>
    <w:rsid w:val="00822DD6"/>
    <w:rsid w:val="00822F6F"/>
    <w:rsid w:val="00823DE5"/>
    <w:rsid w:val="00823EFA"/>
    <w:rsid w:val="008246A6"/>
    <w:rsid w:val="00824C0F"/>
    <w:rsid w:val="00825C9C"/>
    <w:rsid w:val="00825F06"/>
    <w:rsid w:val="0082604B"/>
    <w:rsid w:val="0082614F"/>
    <w:rsid w:val="0082622E"/>
    <w:rsid w:val="0082661B"/>
    <w:rsid w:val="00826B58"/>
    <w:rsid w:val="00826D44"/>
    <w:rsid w:val="00827634"/>
    <w:rsid w:val="00827916"/>
    <w:rsid w:val="00827C0D"/>
    <w:rsid w:val="00827DC9"/>
    <w:rsid w:val="00827DE2"/>
    <w:rsid w:val="0083042C"/>
    <w:rsid w:val="0083058B"/>
    <w:rsid w:val="0083125D"/>
    <w:rsid w:val="0083186B"/>
    <w:rsid w:val="0083221A"/>
    <w:rsid w:val="008325C4"/>
    <w:rsid w:val="008325DA"/>
    <w:rsid w:val="00832D5A"/>
    <w:rsid w:val="00833A0C"/>
    <w:rsid w:val="00833A84"/>
    <w:rsid w:val="008344F7"/>
    <w:rsid w:val="008346FB"/>
    <w:rsid w:val="00834762"/>
    <w:rsid w:val="00834825"/>
    <w:rsid w:val="00834D94"/>
    <w:rsid w:val="0083547E"/>
    <w:rsid w:val="00835688"/>
    <w:rsid w:val="00835BBC"/>
    <w:rsid w:val="00837999"/>
    <w:rsid w:val="008379F4"/>
    <w:rsid w:val="008400A3"/>
    <w:rsid w:val="0084029C"/>
    <w:rsid w:val="008407EE"/>
    <w:rsid w:val="00842AB8"/>
    <w:rsid w:val="0084366E"/>
    <w:rsid w:val="0084390C"/>
    <w:rsid w:val="00843B31"/>
    <w:rsid w:val="00844D2C"/>
    <w:rsid w:val="00845B57"/>
    <w:rsid w:val="00845E27"/>
    <w:rsid w:val="00846510"/>
    <w:rsid w:val="008473C5"/>
    <w:rsid w:val="008504B5"/>
    <w:rsid w:val="00851B6E"/>
    <w:rsid w:val="00851DBD"/>
    <w:rsid w:val="00851ED1"/>
    <w:rsid w:val="00852392"/>
    <w:rsid w:val="008528CB"/>
    <w:rsid w:val="00853079"/>
    <w:rsid w:val="008533E4"/>
    <w:rsid w:val="00853CBC"/>
    <w:rsid w:val="00855149"/>
    <w:rsid w:val="008557C6"/>
    <w:rsid w:val="00856033"/>
    <w:rsid w:val="008577BA"/>
    <w:rsid w:val="00857F10"/>
    <w:rsid w:val="008607BD"/>
    <w:rsid w:val="00860A63"/>
    <w:rsid w:val="00860E74"/>
    <w:rsid w:val="00860E86"/>
    <w:rsid w:val="00862AF0"/>
    <w:rsid w:val="0086425D"/>
    <w:rsid w:val="00864620"/>
    <w:rsid w:val="00865A29"/>
    <w:rsid w:val="008660BF"/>
    <w:rsid w:val="00866C9F"/>
    <w:rsid w:val="008671A5"/>
    <w:rsid w:val="008674D7"/>
    <w:rsid w:val="00867752"/>
    <w:rsid w:val="008704DD"/>
    <w:rsid w:val="008735A9"/>
    <w:rsid w:val="0087389D"/>
    <w:rsid w:val="0087393D"/>
    <w:rsid w:val="00874D53"/>
    <w:rsid w:val="008750A7"/>
    <w:rsid w:val="00876C88"/>
    <w:rsid w:val="008770F6"/>
    <w:rsid w:val="008771D1"/>
    <w:rsid w:val="00877221"/>
    <w:rsid w:val="0088145B"/>
    <w:rsid w:val="00881FD0"/>
    <w:rsid w:val="008824D7"/>
    <w:rsid w:val="00882754"/>
    <w:rsid w:val="008840E8"/>
    <w:rsid w:val="00884A19"/>
    <w:rsid w:val="00884DDB"/>
    <w:rsid w:val="0088505E"/>
    <w:rsid w:val="0088514D"/>
    <w:rsid w:val="00885A0C"/>
    <w:rsid w:val="00886365"/>
    <w:rsid w:val="00886A05"/>
    <w:rsid w:val="008870BF"/>
    <w:rsid w:val="0088731E"/>
    <w:rsid w:val="00887488"/>
    <w:rsid w:val="00887F4C"/>
    <w:rsid w:val="00890C24"/>
    <w:rsid w:val="00892A7A"/>
    <w:rsid w:val="00892D30"/>
    <w:rsid w:val="00892EE4"/>
    <w:rsid w:val="008931AC"/>
    <w:rsid w:val="00893809"/>
    <w:rsid w:val="00893925"/>
    <w:rsid w:val="00893EDA"/>
    <w:rsid w:val="008941B1"/>
    <w:rsid w:val="00894425"/>
    <w:rsid w:val="008944F4"/>
    <w:rsid w:val="00894BC8"/>
    <w:rsid w:val="00895293"/>
    <w:rsid w:val="00895E43"/>
    <w:rsid w:val="00895FC6"/>
    <w:rsid w:val="0089607C"/>
    <w:rsid w:val="00896312"/>
    <w:rsid w:val="00896515"/>
    <w:rsid w:val="00897342"/>
    <w:rsid w:val="008A0C9C"/>
    <w:rsid w:val="008A184F"/>
    <w:rsid w:val="008A1CBA"/>
    <w:rsid w:val="008A1F00"/>
    <w:rsid w:val="008A22C8"/>
    <w:rsid w:val="008A2B76"/>
    <w:rsid w:val="008A3AF4"/>
    <w:rsid w:val="008A448E"/>
    <w:rsid w:val="008A49DB"/>
    <w:rsid w:val="008A4DF1"/>
    <w:rsid w:val="008A6651"/>
    <w:rsid w:val="008A6CD6"/>
    <w:rsid w:val="008B0864"/>
    <w:rsid w:val="008B1424"/>
    <w:rsid w:val="008B1F2A"/>
    <w:rsid w:val="008B44A6"/>
    <w:rsid w:val="008B4A63"/>
    <w:rsid w:val="008B4AC5"/>
    <w:rsid w:val="008B4BB5"/>
    <w:rsid w:val="008B4FD3"/>
    <w:rsid w:val="008B50A5"/>
    <w:rsid w:val="008B57B9"/>
    <w:rsid w:val="008B595A"/>
    <w:rsid w:val="008B6246"/>
    <w:rsid w:val="008B629D"/>
    <w:rsid w:val="008B725E"/>
    <w:rsid w:val="008B79DF"/>
    <w:rsid w:val="008C02D0"/>
    <w:rsid w:val="008C0A72"/>
    <w:rsid w:val="008C154C"/>
    <w:rsid w:val="008C1716"/>
    <w:rsid w:val="008C2130"/>
    <w:rsid w:val="008C2800"/>
    <w:rsid w:val="008C2EDB"/>
    <w:rsid w:val="008C3CBE"/>
    <w:rsid w:val="008C4B42"/>
    <w:rsid w:val="008C7124"/>
    <w:rsid w:val="008C7E44"/>
    <w:rsid w:val="008C7EB7"/>
    <w:rsid w:val="008D14A9"/>
    <w:rsid w:val="008D1AAF"/>
    <w:rsid w:val="008D24DB"/>
    <w:rsid w:val="008D27B7"/>
    <w:rsid w:val="008D2E6F"/>
    <w:rsid w:val="008D31F4"/>
    <w:rsid w:val="008D37EC"/>
    <w:rsid w:val="008D3806"/>
    <w:rsid w:val="008D3987"/>
    <w:rsid w:val="008D449D"/>
    <w:rsid w:val="008D44AA"/>
    <w:rsid w:val="008D45C1"/>
    <w:rsid w:val="008D4C14"/>
    <w:rsid w:val="008D51E7"/>
    <w:rsid w:val="008D56B0"/>
    <w:rsid w:val="008D72E0"/>
    <w:rsid w:val="008D7771"/>
    <w:rsid w:val="008D7E8B"/>
    <w:rsid w:val="008E0A82"/>
    <w:rsid w:val="008E1D55"/>
    <w:rsid w:val="008E2245"/>
    <w:rsid w:val="008E2CA1"/>
    <w:rsid w:val="008E2FF5"/>
    <w:rsid w:val="008E3E7B"/>
    <w:rsid w:val="008E6069"/>
    <w:rsid w:val="008E6F7E"/>
    <w:rsid w:val="008E7C4D"/>
    <w:rsid w:val="008E7F17"/>
    <w:rsid w:val="008F01C0"/>
    <w:rsid w:val="008F16DE"/>
    <w:rsid w:val="008F1A4F"/>
    <w:rsid w:val="008F271B"/>
    <w:rsid w:val="008F2722"/>
    <w:rsid w:val="008F33D5"/>
    <w:rsid w:val="008F3C1D"/>
    <w:rsid w:val="008F448C"/>
    <w:rsid w:val="008F4F52"/>
    <w:rsid w:val="008F569E"/>
    <w:rsid w:val="008F617D"/>
    <w:rsid w:val="008F649D"/>
    <w:rsid w:val="008F6A9C"/>
    <w:rsid w:val="008F7AF7"/>
    <w:rsid w:val="00900152"/>
    <w:rsid w:val="009003A0"/>
    <w:rsid w:val="00901E11"/>
    <w:rsid w:val="00902061"/>
    <w:rsid w:val="009020FD"/>
    <w:rsid w:val="00902516"/>
    <w:rsid w:val="00902EFF"/>
    <w:rsid w:val="0090394D"/>
    <w:rsid w:val="00904143"/>
    <w:rsid w:val="00904392"/>
    <w:rsid w:val="00905625"/>
    <w:rsid w:val="00905DCF"/>
    <w:rsid w:val="009062E4"/>
    <w:rsid w:val="0090637D"/>
    <w:rsid w:val="00906611"/>
    <w:rsid w:val="00907253"/>
    <w:rsid w:val="0090769B"/>
    <w:rsid w:val="00907B6A"/>
    <w:rsid w:val="0091058F"/>
    <w:rsid w:val="009108B8"/>
    <w:rsid w:val="00910B8F"/>
    <w:rsid w:val="00911F1B"/>
    <w:rsid w:val="00912426"/>
    <w:rsid w:val="00912704"/>
    <w:rsid w:val="00912930"/>
    <w:rsid w:val="00912A95"/>
    <w:rsid w:val="009130EC"/>
    <w:rsid w:val="009137E2"/>
    <w:rsid w:val="00913D87"/>
    <w:rsid w:val="009141A8"/>
    <w:rsid w:val="00915686"/>
    <w:rsid w:val="00916F2D"/>
    <w:rsid w:val="00917757"/>
    <w:rsid w:val="00917D1F"/>
    <w:rsid w:val="00920825"/>
    <w:rsid w:val="009208FB"/>
    <w:rsid w:val="00921080"/>
    <w:rsid w:val="00921B19"/>
    <w:rsid w:val="00922514"/>
    <w:rsid w:val="009228E3"/>
    <w:rsid w:val="00922AF0"/>
    <w:rsid w:val="009251D3"/>
    <w:rsid w:val="00925A8C"/>
    <w:rsid w:val="00925C4D"/>
    <w:rsid w:val="0092631F"/>
    <w:rsid w:val="009264DD"/>
    <w:rsid w:val="009264E7"/>
    <w:rsid w:val="0092695A"/>
    <w:rsid w:val="00926B60"/>
    <w:rsid w:val="0092700E"/>
    <w:rsid w:val="00927831"/>
    <w:rsid w:val="00927ECD"/>
    <w:rsid w:val="0093047E"/>
    <w:rsid w:val="00930FD8"/>
    <w:rsid w:val="009314EC"/>
    <w:rsid w:val="009323ED"/>
    <w:rsid w:val="00932455"/>
    <w:rsid w:val="009326A8"/>
    <w:rsid w:val="009341B4"/>
    <w:rsid w:val="009342AC"/>
    <w:rsid w:val="00935CCF"/>
    <w:rsid w:val="009367D0"/>
    <w:rsid w:val="00937628"/>
    <w:rsid w:val="009407CD"/>
    <w:rsid w:val="00941491"/>
    <w:rsid w:val="00941528"/>
    <w:rsid w:val="00943520"/>
    <w:rsid w:val="0094372F"/>
    <w:rsid w:val="00943EDF"/>
    <w:rsid w:val="0094475D"/>
    <w:rsid w:val="00945AD3"/>
    <w:rsid w:val="00946866"/>
    <w:rsid w:val="00947733"/>
    <w:rsid w:val="00947A4C"/>
    <w:rsid w:val="00950395"/>
    <w:rsid w:val="0095040C"/>
    <w:rsid w:val="009508D9"/>
    <w:rsid w:val="00950B72"/>
    <w:rsid w:val="00950CC4"/>
    <w:rsid w:val="009514A1"/>
    <w:rsid w:val="00951B74"/>
    <w:rsid w:val="009526BA"/>
    <w:rsid w:val="0095365D"/>
    <w:rsid w:val="00953D66"/>
    <w:rsid w:val="00954235"/>
    <w:rsid w:val="00954470"/>
    <w:rsid w:val="00954471"/>
    <w:rsid w:val="00954845"/>
    <w:rsid w:val="009559E4"/>
    <w:rsid w:val="00955B9E"/>
    <w:rsid w:val="00955C8A"/>
    <w:rsid w:val="009563BB"/>
    <w:rsid w:val="00956640"/>
    <w:rsid w:val="00957271"/>
    <w:rsid w:val="009576E4"/>
    <w:rsid w:val="00957813"/>
    <w:rsid w:val="00957A04"/>
    <w:rsid w:val="00957E37"/>
    <w:rsid w:val="00957FC4"/>
    <w:rsid w:val="009603D0"/>
    <w:rsid w:val="00960BF0"/>
    <w:rsid w:val="00960F97"/>
    <w:rsid w:val="0096153B"/>
    <w:rsid w:val="00961623"/>
    <w:rsid w:val="00962AD8"/>
    <w:rsid w:val="009637A0"/>
    <w:rsid w:val="0096486F"/>
    <w:rsid w:val="00965AF2"/>
    <w:rsid w:val="00966D00"/>
    <w:rsid w:val="009716F2"/>
    <w:rsid w:val="00972F22"/>
    <w:rsid w:val="009734BD"/>
    <w:rsid w:val="00975C25"/>
    <w:rsid w:val="00975C85"/>
    <w:rsid w:val="009766A1"/>
    <w:rsid w:val="00976C98"/>
    <w:rsid w:val="00977552"/>
    <w:rsid w:val="00980D01"/>
    <w:rsid w:val="0098132C"/>
    <w:rsid w:val="009814DD"/>
    <w:rsid w:val="00981872"/>
    <w:rsid w:val="00982402"/>
    <w:rsid w:val="00983D5F"/>
    <w:rsid w:val="00985AB3"/>
    <w:rsid w:val="00985DD2"/>
    <w:rsid w:val="0098660E"/>
    <w:rsid w:val="0098677B"/>
    <w:rsid w:val="00986BBD"/>
    <w:rsid w:val="009874E6"/>
    <w:rsid w:val="00987987"/>
    <w:rsid w:val="00990B26"/>
    <w:rsid w:val="00991EC1"/>
    <w:rsid w:val="009921AC"/>
    <w:rsid w:val="00995616"/>
    <w:rsid w:val="00995ED3"/>
    <w:rsid w:val="00996593"/>
    <w:rsid w:val="009969D7"/>
    <w:rsid w:val="00997118"/>
    <w:rsid w:val="009974CC"/>
    <w:rsid w:val="00997739"/>
    <w:rsid w:val="009978D4"/>
    <w:rsid w:val="00997EF3"/>
    <w:rsid w:val="00997F9E"/>
    <w:rsid w:val="009A00F9"/>
    <w:rsid w:val="009A031F"/>
    <w:rsid w:val="009A19F3"/>
    <w:rsid w:val="009A1F5D"/>
    <w:rsid w:val="009A1FF0"/>
    <w:rsid w:val="009A2085"/>
    <w:rsid w:val="009A2EF1"/>
    <w:rsid w:val="009A3696"/>
    <w:rsid w:val="009A3BC1"/>
    <w:rsid w:val="009A3F75"/>
    <w:rsid w:val="009A4537"/>
    <w:rsid w:val="009A4775"/>
    <w:rsid w:val="009A47E3"/>
    <w:rsid w:val="009A55CF"/>
    <w:rsid w:val="009A586D"/>
    <w:rsid w:val="009A6208"/>
    <w:rsid w:val="009A67C9"/>
    <w:rsid w:val="009A6BC1"/>
    <w:rsid w:val="009A6D05"/>
    <w:rsid w:val="009A7820"/>
    <w:rsid w:val="009A7F14"/>
    <w:rsid w:val="009B04AF"/>
    <w:rsid w:val="009B0755"/>
    <w:rsid w:val="009B0DDF"/>
    <w:rsid w:val="009B20AD"/>
    <w:rsid w:val="009B31E6"/>
    <w:rsid w:val="009B3682"/>
    <w:rsid w:val="009B46B1"/>
    <w:rsid w:val="009B4A71"/>
    <w:rsid w:val="009B4BFB"/>
    <w:rsid w:val="009B4C6F"/>
    <w:rsid w:val="009B563C"/>
    <w:rsid w:val="009B5D6E"/>
    <w:rsid w:val="009B6791"/>
    <w:rsid w:val="009B764C"/>
    <w:rsid w:val="009B7955"/>
    <w:rsid w:val="009B7B83"/>
    <w:rsid w:val="009C06CA"/>
    <w:rsid w:val="009C09FE"/>
    <w:rsid w:val="009C1AE3"/>
    <w:rsid w:val="009C2B2F"/>
    <w:rsid w:val="009C4710"/>
    <w:rsid w:val="009C4E2C"/>
    <w:rsid w:val="009C5A25"/>
    <w:rsid w:val="009C6033"/>
    <w:rsid w:val="009C6D75"/>
    <w:rsid w:val="009C76E3"/>
    <w:rsid w:val="009D0026"/>
    <w:rsid w:val="009D12BB"/>
    <w:rsid w:val="009D209A"/>
    <w:rsid w:val="009D3683"/>
    <w:rsid w:val="009D40CA"/>
    <w:rsid w:val="009D430B"/>
    <w:rsid w:val="009D5532"/>
    <w:rsid w:val="009D577D"/>
    <w:rsid w:val="009D5A45"/>
    <w:rsid w:val="009D5CA0"/>
    <w:rsid w:val="009D60C2"/>
    <w:rsid w:val="009D614B"/>
    <w:rsid w:val="009D68B9"/>
    <w:rsid w:val="009D6BE7"/>
    <w:rsid w:val="009D7551"/>
    <w:rsid w:val="009D788B"/>
    <w:rsid w:val="009E0162"/>
    <w:rsid w:val="009E1083"/>
    <w:rsid w:val="009E1713"/>
    <w:rsid w:val="009E1838"/>
    <w:rsid w:val="009E2221"/>
    <w:rsid w:val="009E2A58"/>
    <w:rsid w:val="009E3156"/>
    <w:rsid w:val="009E4BA8"/>
    <w:rsid w:val="009E52D7"/>
    <w:rsid w:val="009E639B"/>
    <w:rsid w:val="009E682C"/>
    <w:rsid w:val="009E6A28"/>
    <w:rsid w:val="009E6EC6"/>
    <w:rsid w:val="009E7131"/>
    <w:rsid w:val="009E781A"/>
    <w:rsid w:val="009F1AFE"/>
    <w:rsid w:val="009F3324"/>
    <w:rsid w:val="009F5D22"/>
    <w:rsid w:val="009F7A1C"/>
    <w:rsid w:val="00A000CA"/>
    <w:rsid w:val="00A00639"/>
    <w:rsid w:val="00A01489"/>
    <w:rsid w:val="00A01B7C"/>
    <w:rsid w:val="00A01E00"/>
    <w:rsid w:val="00A0221A"/>
    <w:rsid w:val="00A0394D"/>
    <w:rsid w:val="00A04837"/>
    <w:rsid w:val="00A05DD2"/>
    <w:rsid w:val="00A064CC"/>
    <w:rsid w:val="00A075D5"/>
    <w:rsid w:val="00A104FC"/>
    <w:rsid w:val="00A108C3"/>
    <w:rsid w:val="00A10B2D"/>
    <w:rsid w:val="00A110F7"/>
    <w:rsid w:val="00A124D9"/>
    <w:rsid w:val="00A129F3"/>
    <w:rsid w:val="00A12E28"/>
    <w:rsid w:val="00A137F7"/>
    <w:rsid w:val="00A13982"/>
    <w:rsid w:val="00A13B42"/>
    <w:rsid w:val="00A142FF"/>
    <w:rsid w:val="00A147DB"/>
    <w:rsid w:val="00A14D09"/>
    <w:rsid w:val="00A14DE7"/>
    <w:rsid w:val="00A15A25"/>
    <w:rsid w:val="00A15B7C"/>
    <w:rsid w:val="00A160AD"/>
    <w:rsid w:val="00A161A9"/>
    <w:rsid w:val="00A1669E"/>
    <w:rsid w:val="00A16D17"/>
    <w:rsid w:val="00A16EFD"/>
    <w:rsid w:val="00A174D4"/>
    <w:rsid w:val="00A20BC5"/>
    <w:rsid w:val="00A21054"/>
    <w:rsid w:val="00A21497"/>
    <w:rsid w:val="00A2228C"/>
    <w:rsid w:val="00A22750"/>
    <w:rsid w:val="00A231DE"/>
    <w:rsid w:val="00A23AA7"/>
    <w:rsid w:val="00A24DA0"/>
    <w:rsid w:val="00A24DBB"/>
    <w:rsid w:val="00A25B0F"/>
    <w:rsid w:val="00A26209"/>
    <w:rsid w:val="00A2713E"/>
    <w:rsid w:val="00A271B5"/>
    <w:rsid w:val="00A276D8"/>
    <w:rsid w:val="00A27CEB"/>
    <w:rsid w:val="00A27F1A"/>
    <w:rsid w:val="00A301EC"/>
    <w:rsid w:val="00A3041C"/>
    <w:rsid w:val="00A3172A"/>
    <w:rsid w:val="00A3172D"/>
    <w:rsid w:val="00A33336"/>
    <w:rsid w:val="00A33B5D"/>
    <w:rsid w:val="00A34F03"/>
    <w:rsid w:val="00A35435"/>
    <w:rsid w:val="00A36A75"/>
    <w:rsid w:val="00A374B1"/>
    <w:rsid w:val="00A400D9"/>
    <w:rsid w:val="00A413F7"/>
    <w:rsid w:val="00A41973"/>
    <w:rsid w:val="00A420CE"/>
    <w:rsid w:val="00A4271C"/>
    <w:rsid w:val="00A42774"/>
    <w:rsid w:val="00A43410"/>
    <w:rsid w:val="00A43695"/>
    <w:rsid w:val="00A43DB9"/>
    <w:rsid w:val="00A440C8"/>
    <w:rsid w:val="00A44630"/>
    <w:rsid w:val="00A44D94"/>
    <w:rsid w:val="00A44E07"/>
    <w:rsid w:val="00A45128"/>
    <w:rsid w:val="00A4517E"/>
    <w:rsid w:val="00A45357"/>
    <w:rsid w:val="00A463E7"/>
    <w:rsid w:val="00A47081"/>
    <w:rsid w:val="00A502E5"/>
    <w:rsid w:val="00A5076A"/>
    <w:rsid w:val="00A51B13"/>
    <w:rsid w:val="00A51DC1"/>
    <w:rsid w:val="00A52030"/>
    <w:rsid w:val="00A521F4"/>
    <w:rsid w:val="00A5313B"/>
    <w:rsid w:val="00A53B08"/>
    <w:rsid w:val="00A54254"/>
    <w:rsid w:val="00A544A4"/>
    <w:rsid w:val="00A54563"/>
    <w:rsid w:val="00A547C5"/>
    <w:rsid w:val="00A5547F"/>
    <w:rsid w:val="00A5727A"/>
    <w:rsid w:val="00A604A4"/>
    <w:rsid w:val="00A60894"/>
    <w:rsid w:val="00A6165A"/>
    <w:rsid w:val="00A627E3"/>
    <w:rsid w:val="00A6296B"/>
    <w:rsid w:val="00A62BF9"/>
    <w:rsid w:val="00A63363"/>
    <w:rsid w:val="00A640D3"/>
    <w:rsid w:val="00A644C5"/>
    <w:rsid w:val="00A654CA"/>
    <w:rsid w:val="00A662D6"/>
    <w:rsid w:val="00A675BA"/>
    <w:rsid w:val="00A67864"/>
    <w:rsid w:val="00A67EC1"/>
    <w:rsid w:val="00A67FF0"/>
    <w:rsid w:val="00A70962"/>
    <w:rsid w:val="00A70B4A"/>
    <w:rsid w:val="00A71494"/>
    <w:rsid w:val="00A71977"/>
    <w:rsid w:val="00A71B9D"/>
    <w:rsid w:val="00A72622"/>
    <w:rsid w:val="00A72AB9"/>
    <w:rsid w:val="00A72CD4"/>
    <w:rsid w:val="00A73240"/>
    <w:rsid w:val="00A7325E"/>
    <w:rsid w:val="00A7345B"/>
    <w:rsid w:val="00A7352E"/>
    <w:rsid w:val="00A7426B"/>
    <w:rsid w:val="00A74B79"/>
    <w:rsid w:val="00A76613"/>
    <w:rsid w:val="00A77DC2"/>
    <w:rsid w:val="00A816B2"/>
    <w:rsid w:val="00A82F5A"/>
    <w:rsid w:val="00A83598"/>
    <w:rsid w:val="00A83E10"/>
    <w:rsid w:val="00A84468"/>
    <w:rsid w:val="00A845C7"/>
    <w:rsid w:val="00A854A3"/>
    <w:rsid w:val="00A85EEF"/>
    <w:rsid w:val="00A861D2"/>
    <w:rsid w:val="00A8649F"/>
    <w:rsid w:val="00A90165"/>
    <w:rsid w:val="00A90C4D"/>
    <w:rsid w:val="00A90F20"/>
    <w:rsid w:val="00A9185E"/>
    <w:rsid w:val="00A91DBE"/>
    <w:rsid w:val="00A938F3"/>
    <w:rsid w:val="00A948E9"/>
    <w:rsid w:val="00A950DB"/>
    <w:rsid w:val="00A95D14"/>
    <w:rsid w:val="00A95E94"/>
    <w:rsid w:val="00A95F76"/>
    <w:rsid w:val="00A96DD3"/>
    <w:rsid w:val="00A97476"/>
    <w:rsid w:val="00A978EA"/>
    <w:rsid w:val="00A97CE2"/>
    <w:rsid w:val="00AA04B6"/>
    <w:rsid w:val="00AA0729"/>
    <w:rsid w:val="00AA2423"/>
    <w:rsid w:val="00AA282C"/>
    <w:rsid w:val="00AA2C91"/>
    <w:rsid w:val="00AA3F50"/>
    <w:rsid w:val="00AA42D6"/>
    <w:rsid w:val="00AA42EB"/>
    <w:rsid w:val="00AA4B9B"/>
    <w:rsid w:val="00AA572E"/>
    <w:rsid w:val="00AA6346"/>
    <w:rsid w:val="00AA7979"/>
    <w:rsid w:val="00AB0687"/>
    <w:rsid w:val="00AB1B38"/>
    <w:rsid w:val="00AB1EE4"/>
    <w:rsid w:val="00AB2E25"/>
    <w:rsid w:val="00AB33B7"/>
    <w:rsid w:val="00AB3936"/>
    <w:rsid w:val="00AB3BCE"/>
    <w:rsid w:val="00AB3C59"/>
    <w:rsid w:val="00AB3FF2"/>
    <w:rsid w:val="00AB4418"/>
    <w:rsid w:val="00AB4E95"/>
    <w:rsid w:val="00AB588A"/>
    <w:rsid w:val="00AB5E04"/>
    <w:rsid w:val="00AB6D2A"/>
    <w:rsid w:val="00AB717C"/>
    <w:rsid w:val="00AB72BA"/>
    <w:rsid w:val="00AB7AC9"/>
    <w:rsid w:val="00AC0073"/>
    <w:rsid w:val="00AC0FC8"/>
    <w:rsid w:val="00AC12E6"/>
    <w:rsid w:val="00AC18C7"/>
    <w:rsid w:val="00AC22CF"/>
    <w:rsid w:val="00AC3986"/>
    <w:rsid w:val="00AC4978"/>
    <w:rsid w:val="00AC65CC"/>
    <w:rsid w:val="00AC66D2"/>
    <w:rsid w:val="00AC7072"/>
    <w:rsid w:val="00AC757D"/>
    <w:rsid w:val="00AD0F13"/>
    <w:rsid w:val="00AD1582"/>
    <w:rsid w:val="00AD272E"/>
    <w:rsid w:val="00AD279E"/>
    <w:rsid w:val="00AD2999"/>
    <w:rsid w:val="00AD36F9"/>
    <w:rsid w:val="00AD370F"/>
    <w:rsid w:val="00AD3812"/>
    <w:rsid w:val="00AD4377"/>
    <w:rsid w:val="00AD4F26"/>
    <w:rsid w:val="00AD5BB6"/>
    <w:rsid w:val="00AD644D"/>
    <w:rsid w:val="00AD6880"/>
    <w:rsid w:val="00AD736B"/>
    <w:rsid w:val="00AE042C"/>
    <w:rsid w:val="00AE068C"/>
    <w:rsid w:val="00AE0AA7"/>
    <w:rsid w:val="00AE0D89"/>
    <w:rsid w:val="00AE1ADA"/>
    <w:rsid w:val="00AE1C32"/>
    <w:rsid w:val="00AE2082"/>
    <w:rsid w:val="00AE2438"/>
    <w:rsid w:val="00AE2522"/>
    <w:rsid w:val="00AE27A6"/>
    <w:rsid w:val="00AE2ABD"/>
    <w:rsid w:val="00AE2D48"/>
    <w:rsid w:val="00AE3F60"/>
    <w:rsid w:val="00AE49D4"/>
    <w:rsid w:val="00AE540D"/>
    <w:rsid w:val="00AE553B"/>
    <w:rsid w:val="00AE5641"/>
    <w:rsid w:val="00AE5E67"/>
    <w:rsid w:val="00AE67F8"/>
    <w:rsid w:val="00AE779F"/>
    <w:rsid w:val="00AF015F"/>
    <w:rsid w:val="00AF09F9"/>
    <w:rsid w:val="00AF162A"/>
    <w:rsid w:val="00AF3096"/>
    <w:rsid w:val="00AF3E95"/>
    <w:rsid w:val="00AF4665"/>
    <w:rsid w:val="00AF5E0B"/>
    <w:rsid w:val="00AF6349"/>
    <w:rsid w:val="00AF6524"/>
    <w:rsid w:val="00AF6C57"/>
    <w:rsid w:val="00AF6EFE"/>
    <w:rsid w:val="00AF73DF"/>
    <w:rsid w:val="00AF7CC6"/>
    <w:rsid w:val="00B01809"/>
    <w:rsid w:val="00B01E6B"/>
    <w:rsid w:val="00B0265D"/>
    <w:rsid w:val="00B0283E"/>
    <w:rsid w:val="00B02BDD"/>
    <w:rsid w:val="00B02DF7"/>
    <w:rsid w:val="00B03021"/>
    <w:rsid w:val="00B033F4"/>
    <w:rsid w:val="00B04FEC"/>
    <w:rsid w:val="00B0688B"/>
    <w:rsid w:val="00B068B5"/>
    <w:rsid w:val="00B06DB1"/>
    <w:rsid w:val="00B06E0C"/>
    <w:rsid w:val="00B07126"/>
    <w:rsid w:val="00B10786"/>
    <w:rsid w:val="00B10909"/>
    <w:rsid w:val="00B10F10"/>
    <w:rsid w:val="00B11331"/>
    <w:rsid w:val="00B117F6"/>
    <w:rsid w:val="00B12047"/>
    <w:rsid w:val="00B12201"/>
    <w:rsid w:val="00B133D8"/>
    <w:rsid w:val="00B13833"/>
    <w:rsid w:val="00B13D51"/>
    <w:rsid w:val="00B14433"/>
    <w:rsid w:val="00B14A37"/>
    <w:rsid w:val="00B16CE4"/>
    <w:rsid w:val="00B16D1D"/>
    <w:rsid w:val="00B16E69"/>
    <w:rsid w:val="00B20494"/>
    <w:rsid w:val="00B2066F"/>
    <w:rsid w:val="00B208CD"/>
    <w:rsid w:val="00B226CD"/>
    <w:rsid w:val="00B2336A"/>
    <w:rsid w:val="00B234AD"/>
    <w:rsid w:val="00B23CA0"/>
    <w:rsid w:val="00B2594D"/>
    <w:rsid w:val="00B25F7A"/>
    <w:rsid w:val="00B26267"/>
    <w:rsid w:val="00B27215"/>
    <w:rsid w:val="00B2778E"/>
    <w:rsid w:val="00B30497"/>
    <w:rsid w:val="00B3257C"/>
    <w:rsid w:val="00B33383"/>
    <w:rsid w:val="00B33398"/>
    <w:rsid w:val="00B33DDD"/>
    <w:rsid w:val="00B36132"/>
    <w:rsid w:val="00B3617A"/>
    <w:rsid w:val="00B36214"/>
    <w:rsid w:val="00B36B99"/>
    <w:rsid w:val="00B36D2C"/>
    <w:rsid w:val="00B36E89"/>
    <w:rsid w:val="00B40371"/>
    <w:rsid w:val="00B4062C"/>
    <w:rsid w:val="00B4075F"/>
    <w:rsid w:val="00B411E4"/>
    <w:rsid w:val="00B4167A"/>
    <w:rsid w:val="00B42576"/>
    <w:rsid w:val="00B437F9"/>
    <w:rsid w:val="00B446BF"/>
    <w:rsid w:val="00B44ADE"/>
    <w:rsid w:val="00B453A5"/>
    <w:rsid w:val="00B4597A"/>
    <w:rsid w:val="00B45A8F"/>
    <w:rsid w:val="00B468B0"/>
    <w:rsid w:val="00B50AB7"/>
    <w:rsid w:val="00B50EDD"/>
    <w:rsid w:val="00B531DA"/>
    <w:rsid w:val="00B53682"/>
    <w:rsid w:val="00B55B9F"/>
    <w:rsid w:val="00B56427"/>
    <w:rsid w:val="00B56764"/>
    <w:rsid w:val="00B56866"/>
    <w:rsid w:val="00B570D1"/>
    <w:rsid w:val="00B57E11"/>
    <w:rsid w:val="00B57ECB"/>
    <w:rsid w:val="00B57FB7"/>
    <w:rsid w:val="00B600A7"/>
    <w:rsid w:val="00B600FC"/>
    <w:rsid w:val="00B60473"/>
    <w:rsid w:val="00B607A0"/>
    <w:rsid w:val="00B6102A"/>
    <w:rsid w:val="00B6182C"/>
    <w:rsid w:val="00B61B79"/>
    <w:rsid w:val="00B61D96"/>
    <w:rsid w:val="00B61F69"/>
    <w:rsid w:val="00B623D5"/>
    <w:rsid w:val="00B62A94"/>
    <w:rsid w:val="00B62B0B"/>
    <w:rsid w:val="00B633E3"/>
    <w:rsid w:val="00B6354C"/>
    <w:rsid w:val="00B635C0"/>
    <w:rsid w:val="00B639AE"/>
    <w:rsid w:val="00B63BC5"/>
    <w:rsid w:val="00B6486A"/>
    <w:rsid w:val="00B64C69"/>
    <w:rsid w:val="00B64FE9"/>
    <w:rsid w:val="00B66ADA"/>
    <w:rsid w:val="00B67B3D"/>
    <w:rsid w:val="00B67E26"/>
    <w:rsid w:val="00B70A77"/>
    <w:rsid w:val="00B70FEA"/>
    <w:rsid w:val="00B7208B"/>
    <w:rsid w:val="00B72B19"/>
    <w:rsid w:val="00B72F87"/>
    <w:rsid w:val="00B7305B"/>
    <w:rsid w:val="00B73BA8"/>
    <w:rsid w:val="00B73F50"/>
    <w:rsid w:val="00B73F56"/>
    <w:rsid w:val="00B7423F"/>
    <w:rsid w:val="00B744FD"/>
    <w:rsid w:val="00B74770"/>
    <w:rsid w:val="00B750B3"/>
    <w:rsid w:val="00B7692B"/>
    <w:rsid w:val="00B772A4"/>
    <w:rsid w:val="00B80970"/>
    <w:rsid w:val="00B80B06"/>
    <w:rsid w:val="00B817CC"/>
    <w:rsid w:val="00B82E10"/>
    <w:rsid w:val="00B831BA"/>
    <w:rsid w:val="00B851E2"/>
    <w:rsid w:val="00B85C21"/>
    <w:rsid w:val="00B85F7C"/>
    <w:rsid w:val="00B85F87"/>
    <w:rsid w:val="00B867C7"/>
    <w:rsid w:val="00B86C71"/>
    <w:rsid w:val="00B87925"/>
    <w:rsid w:val="00B87AC9"/>
    <w:rsid w:val="00B87C77"/>
    <w:rsid w:val="00B92516"/>
    <w:rsid w:val="00B9360A"/>
    <w:rsid w:val="00B94BD5"/>
    <w:rsid w:val="00B95E56"/>
    <w:rsid w:val="00B96E0C"/>
    <w:rsid w:val="00BA05AF"/>
    <w:rsid w:val="00BA05CB"/>
    <w:rsid w:val="00BA1244"/>
    <w:rsid w:val="00BA1CE0"/>
    <w:rsid w:val="00BA20BF"/>
    <w:rsid w:val="00BA238B"/>
    <w:rsid w:val="00BA2EF0"/>
    <w:rsid w:val="00BA3B9E"/>
    <w:rsid w:val="00BA3D32"/>
    <w:rsid w:val="00BA3DCF"/>
    <w:rsid w:val="00BA4BBD"/>
    <w:rsid w:val="00BA63CF"/>
    <w:rsid w:val="00BA714C"/>
    <w:rsid w:val="00BA72B1"/>
    <w:rsid w:val="00BA7DC0"/>
    <w:rsid w:val="00BA7DFB"/>
    <w:rsid w:val="00BA7EA7"/>
    <w:rsid w:val="00BB0D2B"/>
    <w:rsid w:val="00BB1F54"/>
    <w:rsid w:val="00BB23E7"/>
    <w:rsid w:val="00BB3BBC"/>
    <w:rsid w:val="00BB3C65"/>
    <w:rsid w:val="00BB47D6"/>
    <w:rsid w:val="00BB4BB2"/>
    <w:rsid w:val="00BC0290"/>
    <w:rsid w:val="00BC1675"/>
    <w:rsid w:val="00BC1AA8"/>
    <w:rsid w:val="00BC1F59"/>
    <w:rsid w:val="00BC2F5D"/>
    <w:rsid w:val="00BC3558"/>
    <w:rsid w:val="00BC41DA"/>
    <w:rsid w:val="00BC427A"/>
    <w:rsid w:val="00BC4D62"/>
    <w:rsid w:val="00BC53BD"/>
    <w:rsid w:val="00BC5673"/>
    <w:rsid w:val="00BC5D13"/>
    <w:rsid w:val="00BC62BA"/>
    <w:rsid w:val="00BC6D48"/>
    <w:rsid w:val="00BC6E6A"/>
    <w:rsid w:val="00BC7770"/>
    <w:rsid w:val="00BC7C39"/>
    <w:rsid w:val="00BD0284"/>
    <w:rsid w:val="00BD0705"/>
    <w:rsid w:val="00BD140E"/>
    <w:rsid w:val="00BD1F1D"/>
    <w:rsid w:val="00BD2328"/>
    <w:rsid w:val="00BD275A"/>
    <w:rsid w:val="00BD2D08"/>
    <w:rsid w:val="00BD2DA1"/>
    <w:rsid w:val="00BD4497"/>
    <w:rsid w:val="00BD46C6"/>
    <w:rsid w:val="00BD4F67"/>
    <w:rsid w:val="00BD5B10"/>
    <w:rsid w:val="00BD62C1"/>
    <w:rsid w:val="00BD6D58"/>
    <w:rsid w:val="00BD6F03"/>
    <w:rsid w:val="00BD713D"/>
    <w:rsid w:val="00BD79F2"/>
    <w:rsid w:val="00BE052F"/>
    <w:rsid w:val="00BE0F84"/>
    <w:rsid w:val="00BE1B70"/>
    <w:rsid w:val="00BE269D"/>
    <w:rsid w:val="00BE26EE"/>
    <w:rsid w:val="00BE2C7E"/>
    <w:rsid w:val="00BE3EBD"/>
    <w:rsid w:val="00BE4D50"/>
    <w:rsid w:val="00BE5580"/>
    <w:rsid w:val="00BE563A"/>
    <w:rsid w:val="00BE5779"/>
    <w:rsid w:val="00BE5DA1"/>
    <w:rsid w:val="00BE624F"/>
    <w:rsid w:val="00BE681E"/>
    <w:rsid w:val="00BE780B"/>
    <w:rsid w:val="00BF011D"/>
    <w:rsid w:val="00BF0995"/>
    <w:rsid w:val="00BF0E04"/>
    <w:rsid w:val="00BF0F38"/>
    <w:rsid w:val="00BF14F4"/>
    <w:rsid w:val="00BF15FE"/>
    <w:rsid w:val="00BF167B"/>
    <w:rsid w:val="00BF1D74"/>
    <w:rsid w:val="00BF1FA7"/>
    <w:rsid w:val="00BF234A"/>
    <w:rsid w:val="00BF28A9"/>
    <w:rsid w:val="00BF2C8B"/>
    <w:rsid w:val="00BF332E"/>
    <w:rsid w:val="00BF3780"/>
    <w:rsid w:val="00BF3E41"/>
    <w:rsid w:val="00BF4F07"/>
    <w:rsid w:val="00BF4F5B"/>
    <w:rsid w:val="00BF54EF"/>
    <w:rsid w:val="00BF6A79"/>
    <w:rsid w:val="00BF7AFA"/>
    <w:rsid w:val="00C00A53"/>
    <w:rsid w:val="00C00EC9"/>
    <w:rsid w:val="00C013B4"/>
    <w:rsid w:val="00C016BD"/>
    <w:rsid w:val="00C01B45"/>
    <w:rsid w:val="00C02059"/>
    <w:rsid w:val="00C0250F"/>
    <w:rsid w:val="00C02639"/>
    <w:rsid w:val="00C02A7D"/>
    <w:rsid w:val="00C03391"/>
    <w:rsid w:val="00C046B1"/>
    <w:rsid w:val="00C049EB"/>
    <w:rsid w:val="00C0692C"/>
    <w:rsid w:val="00C070B3"/>
    <w:rsid w:val="00C077F1"/>
    <w:rsid w:val="00C07A30"/>
    <w:rsid w:val="00C07FB5"/>
    <w:rsid w:val="00C1044F"/>
    <w:rsid w:val="00C10A05"/>
    <w:rsid w:val="00C10BA4"/>
    <w:rsid w:val="00C10C88"/>
    <w:rsid w:val="00C10FFA"/>
    <w:rsid w:val="00C12E9C"/>
    <w:rsid w:val="00C12EDB"/>
    <w:rsid w:val="00C13086"/>
    <w:rsid w:val="00C142AB"/>
    <w:rsid w:val="00C145FF"/>
    <w:rsid w:val="00C15694"/>
    <w:rsid w:val="00C166F9"/>
    <w:rsid w:val="00C17097"/>
    <w:rsid w:val="00C179F7"/>
    <w:rsid w:val="00C17A37"/>
    <w:rsid w:val="00C200F7"/>
    <w:rsid w:val="00C206EB"/>
    <w:rsid w:val="00C209DF"/>
    <w:rsid w:val="00C21058"/>
    <w:rsid w:val="00C21104"/>
    <w:rsid w:val="00C217BA"/>
    <w:rsid w:val="00C21ABF"/>
    <w:rsid w:val="00C22942"/>
    <w:rsid w:val="00C229EC"/>
    <w:rsid w:val="00C22F96"/>
    <w:rsid w:val="00C24190"/>
    <w:rsid w:val="00C24351"/>
    <w:rsid w:val="00C247BD"/>
    <w:rsid w:val="00C25E2E"/>
    <w:rsid w:val="00C25F02"/>
    <w:rsid w:val="00C268CF"/>
    <w:rsid w:val="00C26D09"/>
    <w:rsid w:val="00C273DE"/>
    <w:rsid w:val="00C2764E"/>
    <w:rsid w:val="00C305AE"/>
    <w:rsid w:val="00C307A8"/>
    <w:rsid w:val="00C30E83"/>
    <w:rsid w:val="00C31267"/>
    <w:rsid w:val="00C334F9"/>
    <w:rsid w:val="00C3468B"/>
    <w:rsid w:val="00C34A2C"/>
    <w:rsid w:val="00C359BC"/>
    <w:rsid w:val="00C35BF2"/>
    <w:rsid w:val="00C35F99"/>
    <w:rsid w:val="00C3622D"/>
    <w:rsid w:val="00C37044"/>
    <w:rsid w:val="00C3731B"/>
    <w:rsid w:val="00C374B5"/>
    <w:rsid w:val="00C374C9"/>
    <w:rsid w:val="00C37D45"/>
    <w:rsid w:val="00C40D94"/>
    <w:rsid w:val="00C411BC"/>
    <w:rsid w:val="00C427E9"/>
    <w:rsid w:val="00C429E3"/>
    <w:rsid w:val="00C42A4D"/>
    <w:rsid w:val="00C42BDE"/>
    <w:rsid w:val="00C43707"/>
    <w:rsid w:val="00C43C9E"/>
    <w:rsid w:val="00C46F57"/>
    <w:rsid w:val="00C476FD"/>
    <w:rsid w:val="00C50A28"/>
    <w:rsid w:val="00C51B7C"/>
    <w:rsid w:val="00C51C29"/>
    <w:rsid w:val="00C52025"/>
    <w:rsid w:val="00C52A81"/>
    <w:rsid w:val="00C53EFD"/>
    <w:rsid w:val="00C5433E"/>
    <w:rsid w:val="00C54C3D"/>
    <w:rsid w:val="00C54D83"/>
    <w:rsid w:val="00C55103"/>
    <w:rsid w:val="00C553B5"/>
    <w:rsid w:val="00C55D5C"/>
    <w:rsid w:val="00C60540"/>
    <w:rsid w:val="00C60EE9"/>
    <w:rsid w:val="00C62F85"/>
    <w:rsid w:val="00C63C71"/>
    <w:rsid w:val="00C6435B"/>
    <w:rsid w:val="00C64827"/>
    <w:rsid w:val="00C649B2"/>
    <w:rsid w:val="00C65179"/>
    <w:rsid w:val="00C65929"/>
    <w:rsid w:val="00C67138"/>
    <w:rsid w:val="00C671B3"/>
    <w:rsid w:val="00C67698"/>
    <w:rsid w:val="00C701B3"/>
    <w:rsid w:val="00C706A5"/>
    <w:rsid w:val="00C70A4B"/>
    <w:rsid w:val="00C70D15"/>
    <w:rsid w:val="00C71138"/>
    <w:rsid w:val="00C714B3"/>
    <w:rsid w:val="00C72080"/>
    <w:rsid w:val="00C72318"/>
    <w:rsid w:val="00C72E31"/>
    <w:rsid w:val="00C73AF1"/>
    <w:rsid w:val="00C73C35"/>
    <w:rsid w:val="00C744C3"/>
    <w:rsid w:val="00C7475A"/>
    <w:rsid w:val="00C7506F"/>
    <w:rsid w:val="00C76249"/>
    <w:rsid w:val="00C77FF2"/>
    <w:rsid w:val="00C80E65"/>
    <w:rsid w:val="00C814E3"/>
    <w:rsid w:val="00C823BD"/>
    <w:rsid w:val="00C82FA2"/>
    <w:rsid w:val="00C85227"/>
    <w:rsid w:val="00C85D85"/>
    <w:rsid w:val="00C85F79"/>
    <w:rsid w:val="00C872A0"/>
    <w:rsid w:val="00C87EFC"/>
    <w:rsid w:val="00C900C9"/>
    <w:rsid w:val="00C91677"/>
    <w:rsid w:val="00C91CD1"/>
    <w:rsid w:val="00C929CE"/>
    <w:rsid w:val="00C93527"/>
    <w:rsid w:val="00C93EAA"/>
    <w:rsid w:val="00C93FD8"/>
    <w:rsid w:val="00C94453"/>
    <w:rsid w:val="00C94A80"/>
    <w:rsid w:val="00C94E38"/>
    <w:rsid w:val="00C94F63"/>
    <w:rsid w:val="00C95A6B"/>
    <w:rsid w:val="00C95C1F"/>
    <w:rsid w:val="00C968CC"/>
    <w:rsid w:val="00C96A63"/>
    <w:rsid w:val="00C96AEA"/>
    <w:rsid w:val="00C96B1D"/>
    <w:rsid w:val="00C976F1"/>
    <w:rsid w:val="00C97B9F"/>
    <w:rsid w:val="00CA482A"/>
    <w:rsid w:val="00CA49CC"/>
    <w:rsid w:val="00CA51B4"/>
    <w:rsid w:val="00CA5870"/>
    <w:rsid w:val="00CA6364"/>
    <w:rsid w:val="00CA6989"/>
    <w:rsid w:val="00CA6DED"/>
    <w:rsid w:val="00CA6F5A"/>
    <w:rsid w:val="00CA6F70"/>
    <w:rsid w:val="00CA71DA"/>
    <w:rsid w:val="00CA7EF6"/>
    <w:rsid w:val="00CB00C5"/>
    <w:rsid w:val="00CB07BB"/>
    <w:rsid w:val="00CB09C6"/>
    <w:rsid w:val="00CB1696"/>
    <w:rsid w:val="00CB2019"/>
    <w:rsid w:val="00CB2C1A"/>
    <w:rsid w:val="00CB3616"/>
    <w:rsid w:val="00CB3C08"/>
    <w:rsid w:val="00CB3CA9"/>
    <w:rsid w:val="00CB45B8"/>
    <w:rsid w:val="00CB53F3"/>
    <w:rsid w:val="00CB592A"/>
    <w:rsid w:val="00CB5DC1"/>
    <w:rsid w:val="00CB6356"/>
    <w:rsid w:val="00CB6AA0"/>
    <w:rsid w:val="00CB76EA"/>
    <w:rsid w:val="00CB773A"/>
    <w:rsid w:val="00CB7864"/>
    <w:rsid w:val="00CB7BC2"/>
    <w:rsid w:val="00CC30D7"/>
    <w:rsid w:val="00CC3DB6"/>
    <w:rsid w:val="00CC4490"/>
    <w:rsid w:val="00CC555C"/>
    <w:rsid w:val="00CC5917"/>
    <w:rsid w:val="00CC616C"/>
    <w:rsid w:val="00CC665B"/>
    <w:rsid w:val="00CC6785"/>
    <w:rsid w:val="00CC68C5"/>
    <w:rsid w:val="00CC77E4"/>
    <w:rsid w:val="00CD00FA"/>
    <w:rsid w:val="00CD1559"/>
    <w:rsid w:val="00CD1E97"/>
    <w:rsid w:val="00CD1F91"/>
    <w:rsid w:val="00CD259B"/>
    <w:rsid w:val="00CD2800"/>
    <w:rsid w:val="00CD3A9A"/>
    <w:rsid w:val="00CD3C0D"/>
    <w:rsid w:val="00CD4181"/>
    <w:rsid w:val="00CD4585"/>
    <w:rsid w:val="00CD5F53"/>
    <w:rsid w:val="00CD7B38"/>
    <w:rsid w:val="00CE003E"/>
    <w:rsid w:val="00CE05B0"/>
    <w:rsid w:val="00CE0A3F"/>
    <w:rsid w:val="00CE24DD"/>
    <w:rsid w:val="00CE25B4"/>
    <w:rsid w:val="00CE27F5"/>
    <w:rsid w:val="00CE2B11"/>
    <w:rsid w:val="00CE2D73"/>
    <w:rsid w:val="00CE3AEF"/>
    <w:rsid w:val="00CE443B"/>
    <w:rsid w:val="00CE4D13"/>
    <w:rsid w:val="00CE5396"/>
    <w:rsid w:val="00CE555C"/>
    <w:rsid w:val="00CE6C38"/>
    <w:rsid w:val="00CE7872"/>
    <w:rsid w:val="00CF0017"/>
    <w:rsid w:val="00CF0163"/>
    <w:rsid w:val="00CF085E"/>
    <w:rsid w:val="00CF09A5"/>
    <w:rsid w:val="00CF10DF"/>
    <w:rsid w:val="00CF2D3B"/>
    <w:rsid w:val="00CF3082"/>
    <w:rsid w:val="00CF3268"/>
    <w:rsid w:val="00CF3541"/>
    <w:rsid w:val="00CF38B5"/>
    <w:rsid w:val="00CF489B"/>
    <w:rsid w:val="00CF490A"/>
    <w:rsid w:val="00CF5E47"/>
    <w:rsid w:val="00CF6BB4"/>
    <w:rsid w:val="00CF6E6C"/>
    <w:rsid w:val="00CF6E70"/>
    <w:rsid w:val="00CF7444"/>
    <w:rsid w:val="00CF7B93"/>
    <w:rsid w:val="00D002B7"/>
    <w:rsid w:val="00D00FB0"/>
    <w:rsid w:val="00D02970"/>
    <w:rsid w:val="00D035C0"/>
    <w:rsid w:val="00D039D9"/>
    <w:rsid w:val="00D039E6"/>
    <w:rsid w:val="00D03E2E"/>
    <w:rsid w:val="00D04545"/>
    <w:rsid w:val="00D04DAB"/>
    <w:rsid w:val="00D05034"/>
    <w:rsid w:val="00D05527"/>
    <w:rsid w:val="00D05A1E"/>
    <w:rsid w:val="00D05E8E"/>
    <w:rsid w:val="00D063DF"/>
    <w:rsid w:val="00D0784E"/>
    <w:rsid w:val="00D1034E"/>
    <w:rsid w:val="00D1059C"/>
    <w:rsid w:val="00D106D7"/>
    <w:rsid w:val="00D10EF1"/>
    <w:rsid w:val="00D1103E"/>
    <w:rsid w:val="00D1110F"/>
    <w:rsid w:val="00D113DE"/>
    <w:rsid w:val="00D11897"/>
    <w:rsid w:val="00D11FA6"/>
    <w:rsid w:val="00D12F92"/>
    <w:rsid w:val="00D13322"/>
    <w:rsid w:val="00D138F5"/>
    <w:rsid w:val="00D139C9"/>
    <w:rsid w:val="00D13A57"/>
    <w:rsid w:val="00D13B8F"/>
    <w:rsid w:val="00D13E89"/>
    <w:rsid w:val="00D141C7"/>
    <w:rsid w:val="00D148C8"/>
    <w:rsid w:val="00D15374"/>
    <w:rsid w:val="00D16D05"/>
    <w:rsid w:val="00D16EF0"/>
    <w:rsid w:val="00D16EF9"/>
    <w:rsid w:val="00D17130"/>
    <w:rsid w:val="00D17758"/>
    <w:rsid w:val="00D17965"/>
    <w:rsid w:val="00D20556"/>
    <w:rsid w:val="00D21428"/>
    <w:rsid w:val="00D21783"/>
    <w:rsid w:val="00D2225D"/>
    <w:rsid w:val="00D22459"/>
    <w:rsid w:val="00D22485"/>
    <w:rsid w:val="00D22CE6"/>
    <w:rsid w:val="00D2326A"/>
    <w:rsid w:val="00D23E6D"/>
    <w:rsid w:val="00D23F6C"/>
    <w:rsid w:val="00D243B7"/>
    <w:rsid w:val="00D24C8C"/>
    <w:rsid w:val="00D25B22"/>
    <w:rsid w:val="00D268A1"/>
    <w:rsid w:val="00D26D39"/>
    <w:rsid w:val="00D302B4"/>
    <w:rsid w:val="00D31987"/>
    <w:rsid w:val="00D319FE"/>
    <w:rsid w:val="00D323D1"/>
    <w:rsid w:val="00D326DA"/>
    <w:rsid w:val="00D33B2C"/>
    <w:rsid w:val="00D33BC0"/>
    <w:rsid w:val="00D33DDC"/>
    <w:rsid w:val="00D3402F"/>
    <w:rsid w:val="00D34415"/>
    <w:rsid w:val="00D3592B"/>
    <w:rsid w:val="00D35989"/>
    <w:rsid w:val="00D35B9B"/>
    <w:rsid w:val="00D35EAD"/>
    <w:rsid w:val="00D37DFB"/>
    <w:rsid w:val="00D40078"/>
    <w:rsid w:val="00D4022D"/>
    <w:rsid w:val="00D414F5"/>
    <w:rsid w:val="00D41CA0"/>
    <w:rsid w:val="00D41F51"/>
    <w:rsid w:val="00D42E22"/>
    <w:rsid w:val="00D43872"/>
    <w:rsid w:val="00D454E7"/>
    <w:rsid w:val="00D45527"/>
    <w:rsid w:val="00D46097"/>
    <w:rsid w:val="00D46521"/>
    <w:rsid w:val="00D47E28"/>
    <w:rsid w:val="00D517D0"/>
    <w:rsid w:val="00D523EB"/>
    <w:rsid w:val="00D52D57"/>
    <w:rsid w:val="00D53275"/>
    <w:rsid w:val="00D54358"/>
    <w:rsid w:val="00D54562"/>
    <w:rsid w:val="00D548B4"/>
    <w:rsid w:val="00D5512F"/>
    <w:rsid w:val="00D553C6"/>
    <w:rsid w:val="00D554E1"/>
    <w:rsid w:val="00D55501"/>
    <w:rsid w:val="00D5577E"/>
    <w:rsid w:val="00D55F1F"/>
    <w:rsid w:val="00D5614A"/>
    <w:rsid w:val="00D563AD"/>
    <w:rsid w:val="00D564E9"/>
    <w:rsid w:val="00D5679E"/>
    <w:rsid w:val="00D567AA"/>
    <w:rsid w:val="00D56FFA"/>
    <w:rsid w:val="00D57F34"/>
    <w:rsid w:val="00D604DA"/>
    <w:rsid w:val="00D61E66"/>
    <w:rsid w:val="00D61F21"/>
    <w:rsid w:val="00D62952"/>
    <w:rsid w:val="00D62B1A"/>
    <w:rsid w:val="00D6316F"/>
    <w:rsid w:val="00D63E9A"/>
    <w:rsid w:val="00D641F8"/>
    <w:rsid w:val="00D64A9F"/>
    <w:rsid w:val="00D66AE3"/>
    <w:rsid w:val="00D67390"/>
    <w:rsid w:val="00D673AA"/>
    <w:rsid w:val="00D70BAF"/>
    <w:rsid w:val="00D713A0"/>
    <w:rsid w:val="00D7152A"/>
    <w:rsid w:val="00D720AD"/>
    <w:rsid w:val="00D7233D"/>
    <w:rsid w:val="00D724DC"/>
    <w:rsid w:val="00D72738"/>
    <w:rsid w:val="00D72CF7"/>
    <w:rsid w:val="00D741FC"/>
    <w:rsid w:val="00D7524D"/>
    <w:rsid w:val="00D75C4F"/>
    <w:rsid w:val="00D7636E"/>
    <w:rsid w:val="00D768F3"/>
    <w:rsid w:val="00D76CA5"/>
    <w:rsid w:val="00D76ED3"/>
    <w:rsid w:val="00D77DC1"/>
    <w:rsid w:val="00D77E85"/>
    <w:rsid w:val="00D77F27"/>
    <w:rsid w:val="00D80A2B"/>
    <w:rsid w:val="00D80D6A"/>
    <w:rsid w:val="00D81D1D"/>
    <w:rsid w:val="00D83DDB"/>
    <w:rsid w:val="00D84084"/>
    <w:rsid w:val="00D8421B"/>
    <w:rsid w:val="00D84AA2"/>
    <w:rsid w:val="00D84BF3"/>
    <w:rsid w:val="00D85054"/>
    <w:rsid w:val="00D851B0"/>
    <w:rsid w:val="00D85FE2"/>
    <w:rsid w:val="00D90594"/>
    <w:rsid w:val="00D90AA2"/>
    <w:rsid w:val="00D90C0D"/>
    <w:rsid w:val="00D9112C"/>
    <w:rsid w:val="00D92B4D"/>
    <w:rsid w:val="00D93334"/>
    <w:rsid w:val="00D93A63"/>
    <w:rsid w:val="00D93D3C"/>
    <w:rsid w:val="00D93D73"/>
    <w:rsid w:val="00D93EB1"/>
    <w:rsid w:val="00D9452B"/>
    <w:rsid w:val="00D94ADC"/>
    <w:rsid w:val="00D96AB7"/>
    <w:rsid w:val="00D9730C"/>
    <w:rsid w:val="00D977C8"/>
    <w:rsid w:val="00DA00B8"/>
    <w:rsid w:val="00DA1780"/>
    <w:rsid w:val="00DA244B"/>
    <w:rsid w:val="00DA3198"/>
    <w:rsid w:val="00DA380F"/>
    <w:rsid w:val="00DA3867"/>
    <w:rsid w:val="00DA3E9A"/>
    <w:rsid w:val="00DA4DBD"/>
    <w:rsid w:val="00DA60E1"/>
    <w:rsid w:val="00DA65F6"/>
    <w:rsid w:val="00DA6F31"/>
    <w:rsid w:val="00DA706E"/>
    <w:rsid w:val="00DA7137"/>
    <w:rsid w:val="00DA786A"/>
    <w:rsid w:val="00DA7D1B"/>
    <w:rsid w:val="00DB03ED"/>
    <w:rsid w:val="00DB06E9"/>
    <w:rsid w:val="00DB0E7C"/>
    <w:rsid w:val="00DB181D"/>
    <w:rsid w:val="00DB1B17"/>
    <w:rsid w:val="00DB1EDB"/>
    <w:rsid w:val="00DB210F"/>
    <w:rsid w:val="00DB220A"/>
    <w:rsid w:val="00DB2DBE"/>
    <w:rsid w:val="00DB32DE"/>
    <w:rsid w:val="00DB49B6"/>
    <w:rsid w:val="00DB5B40"/>
    <w:rsid w:val="00DB6DA6"/>
    <w:rsid w:val="00DC055B"/>
    <w:rsid w:val="00DC1302"/>
    <w:rsid w:val="00DC13E1"/>
    <w:rsid w:val="00DC1E47"/>
    <w:rsid w:val="00DC2397"/>
    <w:rsid w:val="00DC2BEF"/>
    <w:rsid w:val="00DC304F"/>
    <w:rsid w:val="00DC3545"/>
    <w:rsid w:val="00DC364B"/>
    <w:rsid w:val="00DC4B35"/>
    <w:rsid w:val="00DC4FBE"/>
    <w:rsid w:val="00DC5836"/>
    <w:rsid w:val="00DC5A31"/>
    <w:rsid w:val="00DC676B"/>
    <w:rsid w:val="00DD2026"/>
    <w:rsid w:val="00DD2648"/>
    <w:rsid w:val="00DD267B"/>
    <w:rsid w:val="00DD2A1E"/>
    <w:rsid w:val="00DD2A77"/>
    <w:rsid w:val="00DD5AD6"/>
    <w:rsid w:val="00DD6FD9"/>
    <w:rsid w:val="00DD79E3"/>
    <w:rsid w:val="00DE048F"/>
    <w:rsid w:val="00DE1206"/>
    <w:rsid w:val="00DE215D"/>
    <w:rsid w:val="00DE3C99"/>
    <w:rsid w:val="00DE4509"/>
    <w:rsid w:val="00DE491D"/>
    <w:rsid w:val="00DE552A"/>
    <w:rsid w:val="00DE58D7"/>
    <w:rsid w:val="00DE5A78"/>
    <w:rsid w:val="00DE5D94"/>
    <w:rsid w:val="00DE7FFC"/>
    <w:rsid w:val="00DF0119"/>
    <w:rsid w:val="00DF0528"/>
    <w:rsid w:val="00DF171F"/>
    <w:rsid w:val="00DF17F9"/>
    <w:rsid w:val="00DF1AB3"/>
    <w:rsid w:val="00DF1AB5"/>
    <w:rsid w:val="00DF221E"/>
    <w:rsid w:val="00DF2CD3"/>
    <w:rsid w:val="00DF369E"/>
    <w:rsid w:val="00DF62C2"/>
    <w:rsid w:val="00DF62E2"/>
    <w:rsid w:val="00DF7BAF"/>
    <w:rsid w:val="00E0008D"/>
    <w:rsid w:val="00E001C4"/>
    <w:rsid w:val="00E009EE"/>
    <w:rsid w:val="00E00A82"/>
    <w:rsid w:val="00E00CDF"/>
    <w:rsid w:val="00E0120D"/>
    <w:rsid w:val="00E01521"/>
    <w:rsid w:val="00E016C4"/>
    <w:rsid w:val="00E01FA1"/>
    <w:rsid w:val="00E0246A"/>
    <w:rsid w:val="00E02A34"/>
    <w:rsid w:val="00E02D6C"/>
    <w:rsid w:val="00E030B1"/>
    <w:rsid w:val="00E03768"/>
    <w:rsid w:val="00E03B67"/>
    <w:rsid w:val="00E040F3"/>
    <w:rsid w:val="00E0420B"/>
    <w:rsid w:val="00E042F5"/>
    <w:rsid w:val="00E061AE"/>
    <w:rsid w:val="00E07170"/>
    <w:rsid w:val="00E0719F"/>
    <w:rsid w:val="00E07465"/>
    <w:rsid w:val="00E07518"/>
    <w:rsid w:val="00E10FE2"/>
    <w:rsid w:val="00E1107E"/>
    <w:rsid w:val="00E11853"/>
    <w:rsid w:val="00E11BB7"/>
    <w:rsid w:val="00E11D10"/>
    <w:rsid w:val="00E11EBD"/>
    <w:rsid w:val="00E13405"/>
    <w:rsid w:val="00E1447C"/>
    <w:rsid w:val="00E1484A"/>
    <w:rsid w:val="00E14C9D"/>
    <w:rsid w:val="00E14DE9"/>
    <w:rsid w:val="00E1512A"/>
    <w:rsid w:val="00E159E6"/>
    <w:rsid w:val="00E163A1"/>
    <w:rsid w:val="00E16B60"/>
    <w:rsid w:val="00E16DF8"/>
    <w:rsid w:val="00E16EEC"/>
    <w:rsid w:val="00E1715A"/>
    <w:rsid w:val="00E1790A"/>
    <w:rsid w:val="00E204D1"/>
    <w:rsid w:val="00E2206C"/>
    <w:rsid w:val="00E22192"/>
    <w:rsid w:val="00E2224C"/>
    <w:rsid w:val="00E2269E"/>
    <w:rsid w:val="00E234D4"/>
    <w:rsid w:val="00E23C5E"/>
    <w:rsid w:val="00E25030"/>
    <w:rsid w:val="00E265E4"/>
    <w:rsid w:val="00E27CA7"/>
    <w:rsid w:val="00E27EA5"/>
    <w:rsid w:val="00E3029E"/>
    <w:rsid w:val="00E30F1C"/>
    <w:rsid w:val="00E31BAB"/>
    <w:rsid w:val="00E31E48"/>
    <w:rsid w:val="00E32127"/>
    <w:rsid w:val="00E3351C"/>
    <w:rsid w:val="00E33A89"/>
    <w:rsid w:val="00E3427F"/>
    <w:rsid w:val="00E34506"/>
    <w:rsid w:val="00E345E9"/>
    <w:rsid w:val="00E36F48"/>
    <w:rsid w:val="00E402B8"/>
    <w:rsid w:val="00E40EFD"/>
    <w:rsid w:val="00E41784"/>
    <w:rsid w:val="00E41794"/>
    <w:rsid w:val="00E41992"/>
    <w:rsid w:val="00E41CBD"/>
    <w:rsid w:val="00E41E05"/>
    <w:rsid w:val="00E41E0C"/>
    <w:rsid w:val="00E42A8D"/>
    <w:rsid w:val="00E4386C"/>
    <w:rsid w:val="00E44128"/>
    <w:rsid w:val="00E442A1"/>
    <w:rsid w:val="00E443E4"/>
    <w:rsid w:val="00E44723"/>
    <w:rsid w:val="00E45315"/>
    <w:rsid w:val="00E45773"/>
    <w:rsid w:val="00E461FA"/>
    <w:rsid w:val="00E46677"/>
    <w:rsid w:val="00E477A6"/>
    <w:rsid w:val="00E47D6F"/>
    <w:rsid w:val="00E50D58"/>
    <w:rsid w:val="00E5131F"/>
    <w:rsid w:val="00E5224B"/>
    <w:rsid w:val="00E522A7"/>
    <w:rsid w:val="00E531E7"/>
    <w:rsid w:val="00E53AD3"/>
    <w:rsid w:val="00E543BB"/>
    <w:rsid w:val="00E548A2"/>
    <w:rsid w:val="00E555EA"/>
    <w:rsid w:val="00E556A6"/>
    <w:rsid w:val="00E55C95"/>
    <w:rsid w:val="00E55FB3"/>
    <w:rsid w:val="00E56009"/>
    <w:rsid w:val="00E56675"/>
    <w:rsid w:val="00E571CC"/>
    <w:rsid w:val="00E57400"/>
    <w:rsid w:val="00E60F25"/>
    <w:rsid w:val="00E619E4"/>
    <w:rsid w:val="00E61B27"/>
    <w:rsid w:val="00E627F6"/>
    <w:rsid w:val="00E62E41"/>
    <w:rsid w:val="00E638BD"/>
    <w:rsid w:val="00E640FA"/>
    <w:rsid w:val="00E6452D"/>
    <w:rsid w:val="00E6458A"/>
    <w:rsid w:val="00E66872"/>
    <w:rsid w:val="00E67510"/>
    <w:rsid w:val="00E67EE4"/>
    <w:rsid w:val="00E7052B"/>
    <w:rsid w:val="00E707EF"/>
    <w:rsid w:val="00E709DF"/>
    <w:rsid w:val="00E70D2A"/>
    <w:rsid w:val="00E70FF3"/>
    <w:rsid w:val="00E7109F"/>
    <w:rsid w:val="00E71175"/>
    <w:rsid w:val="00E7128A"/>
    <w:rsid w:val="00E729D8"/>
    <w:rsid w:val="00E72FB5"/>
    <w:rsid w:val="00E73938"/>
    <w:rsid w:val="00E74131"/>
    <w:rsid w:val="00E74794"/>
    <w:rsid w:val="00E748EB"/>
    <w:rsid w:val="00E74ADC"/>
    <w:rsid w:val="00E74D5A"/>
    <w:rsid w:val="00E7611D"/>
    <w:rsid w:val="00E7678D"/>
    <w:rsid w:val="00E772C0"/>
    <w:rsid w:val="00E8457A"/>
    <w:rsid w:val="00E85462"/>
    <w:rsid w:val="00E85929"/>
    <w:rsid w:val="00E865C9"/>
    <w:rsid w:val="00E8680D"/>
    <w:rsid w:val="00E870DB"/>
    <w:rsid w:val="00E87A30"/>
    <w:rsid w:val="00E87D24"/>
    <w:rsid w:val="00E905BD"/>
    <w:rsid w:val="00E9062C"/>
    <w:rsid w:val="00E90BFC"/>
    <w:rsid w:val="00E91699"/>
    <w:rsid w:val="00E916F1"/>
    <w:rsid w:val="00E92BE9"/>
    <w:rsid w:val="00E92F9F"/>
    <w:rsid w:val="00E9347F"/>
    <w:rsid w:val="00E94716"/>
    <w:rsid w:val="00E9473C"/>
    <w:rsid w:val="00E94AC2"/>
    <w:rsid w:val="00E94CCB"/>
    <w:rsid w:val="00E95525"/>
    <w:rsid w:val="00E959B3"/>
    <w:rsid w:val="00E959E8"/>
    <w:rsid w:val="00E96060"/>
    <w:rsid w:val="00E96427"/>
    <w:rsid w:val="00E96E14"/>
    <w:rsid w:val="00E9702D"/>
    <w:rsid w:val="00E974FA"/>
    <w:rsid w:val="00E97A41"/>
    <w:rsid w:val="00EA0137"/>
    <w:rsid w:val="00EA1D6D"/>
    <w:rsid w:val="00EA1EEC"/>
    <w:rsid w:val="00EA2018"/>
    <w:rsid w:val="00EA205A"/>
    <w:rsid w:val="00EA2953"/>
    <w:rsid w:val="00EA3083"/>
    <w:rsid w:val="00EA3825"/>
    <w:rsid w:val="00EA3C3C"/>
    <w:rsid w:val="00EA4C22"/>
    <w:rsid w:val="00EA5580"/>
    <w:rsid w:val="00EA57D0"/>
    <w:rsid w:val="00EA7737"/>
    <w:rsid w:val="00EA79FB"/>
    <w:rsid w:val="00EB0609"/>
    <w:rsid w:val="00EB078A"/>
    <w:rsid w:val="00EB0D9D"/>
    <w:rsid w:val="00EB1F10"/>
    <w:rsid w:val="00EB284E"/>
    <w:rsid w:val="00EB2A0A"/>
    <w:rsid w:val="00EB2DD9"/>
    <w:rsid w:val="00EB2F99"/>
    <w:rsid w:val="00EB2FF9"/>
    <w:rsid w:val="00EB35F3"/>
    <w:rsid w:val="00EB3FFD"/>
    <w:rsid w:val="00EB409B"/>
    <w:rsid w:val="00EB41C4"/>
    <w:rsid w:val="00EB4313"/>
    <w:rsid w:val="00EB5488"/>
    <w:rsid w:val="00EB54B3"/>
    <w:rsid w:val="00EB5745"/>
    <w:rsid w:val="00EB5E7C"/>
    <w:rsid w:val="00EB61C0"/>
    <w:rsid w:val="00EB676E"/>
    <w:rsid w:val="00EB68B6"/>
    <w:rsid w:val="00EB6BE8"/>
    <w:rsid w:val="00EB6C77"/>
    <w:rsid w:val="00EB7213"/>
    <w:rsid w:val="00EB752B"/>
    <w:rsid w:val="00EC04CA"/>
    <w:rsid w:val="00EC0C5E"/>
    <w:rsid w:val="00EC1BE7"/>
    <w:rsid w:val="00EC1D43"/>
    <w:rsid w:val="00EC2700"/>
    <w:rsid w:val="00EC3105"/>
    <w:rsid w:val="00EC34C5"/>
    <w:rsid w:val="00EC42FA"/>
    <w:rsid w:val="00EC4A64"/>
    <w:rsid w:val="00EC539C"/>
    <w:rsid w:val="00EC5534"/>
    <w:rsid w:val="00EC578A"/>
    <w:rsid w:val="00EC6555"/>
    <w:rsid w:val="00EC6CF7"/>
    <w:rsid w:val="00EC6F5C"/>
    <w:rsid w:val="00EC7546"/>
    <w:rsid w:val="00EC75B2"/>
    <w:rsid w:val="00EC7956"/>
    <w:rsid w:val="00ED0791"/>
    <w:rsid w:val="00ED0ED5"/>
    <w:rsid w:val="00ED2CEA"/>
    <w:rsid w:val="00ED2D7A"/>
    <w:rsid w:val="00ED2D83"/>
    <w:rsid w:val="00ED3373"/>
    <w:rsid w:val="00ED602D"/>
    <w:rsid w:val="00ED6B8F"/>
    <w:rsid w:val="00ED6E53"/>
    <w:rsid w:val="00ED7023"/>
    <w:rsid w:val="00ED71A4"/>
    <w:rsid w:val="00EE0397"/>
    <w:rsid w:val="00EE0655"/>
    <w:rsid w:val="00EE0EB8"/>
    <w:rsid w:val="00EE1923"/>
    <w:rsid w:val="00EE3490"/>
    <w:rsid w:val="00EE43E3"/>
    <w:rsid w:val="00EE571A"/>
    <w:rsid w:val="00EE7131"/>
    <w:rsid w:val="00EE7955"/>
    <w:rsid w:val="00EF0475"/>
    <w:rsid w:val="00EF136E"/>
    <w:rsid w:val="00EF1E54"/>
    <w:rsid w:val="00EF24E6"/>
    <w:rsid w:val="00EF2C03"/>
    <w:rsid w:val="00EF2FA6"/>
    <w:rsid w:val="00EF2FFA"/>
    <w:rsid w:val="00EF3BCC"/>
    <w:rsid w:val="00EF4D2C"/>
    <w:rsid w:val="00EF59EE"/>
    <w:rsid w:val="00EF5A96"/>
    <w:rsid w:val="00EF7277"/>
    <w:rsid w:val="00EF772F"/>
    <w:rsid w:val="00F01210"/>
    <w:rsid w:val="00F017F1"/>
    <w:rsid w:val="00F02D27"/>
    <w:rsid w:val="00F04758"/>
    <w:rsid w:val="00F05015"/>
    <w:rsid w:val="00F061C4"/>
    <w:rsid w:val="00F06A6A"/>
    <w:rsid w:val="00F06B39"/>
    <w:rsid w:val="00F06F28"/>
    <w:rsid w:val="00F07166"/>
    <w:rsid w:val="00F078CD"/>
    <w:rsid w:val="00F07C41"/>
    <w:rsid w:val="00F1080E"/>
    <w:rsid w:val="00F10829"/>
    <w:rsid w:val="00F109BA"/>
    <w:rsid w:val="00F11462"/>
    <w:rsid w:val="00F119B5"/>
    <w:rsid w:val="00F12B69"/>
    <w:rsid w:val="00F16893"/>
    <w:rsid w:val="00F16BDC"/>
    <w:rsid w:val="00F17B9D"/>
    <w:rsid w:val="00F201E7"/>
    <w:rsid w:val="00F20644"/>
    <w:rsid w:val="00F20E5B"/>
    <w:rsid w:val="00F21FD0"/>
    <w:rsid w:val="00F2296F"/>
    <w:rsid w:val="00F23039"/>
    <w:rsid w:val="00F24882"/>
    <w:rsid w:val="00F24E95"/>
    <w:rsid w:val="00F27A8A"/>
    <w:rsid w:val="00F33CBB"/>
    <w:rsid w:val="00F34D65"/>
    <w:rsid w:val="00F34F90"/>
    <w:rsid w:val="00F35575"/>
    <w:rsid w:val="00F3570E"/>
    <w:rsid w:val="00F35DBC"/>
    <w:rsid w:val="00F3620D"/>
    <w:rsid w:val="00F3635D"/>
    <w:rsid w:val="00F372EB"/>
    <w:rsid w:val="00F37379"/>
    <w:rsid w:val="00F37422"/>
    <w:rsid w:val="00F37E61"/>
    <w:rsid w:val="00F406EF"/>
    <w:rsid w:val="00F409B1"/>
    <w:rsid w:val="00F40FCE"/>
    <w:rsid w:val="00F40FEE"/>
    <w:rsid w:val="00F41B9B"/>
    <w:rsid w:val="00F430E6"/>
    <w:rsid w:val="00F43C7B"/>
    <w:rsid w:val="00F44BD0"/>
    <w:rsid w:val="00F44CD1"/>
    <w:rsid w:val="00F4574D"/>
    <w:rsid w:val="00F45C72"/>
    <w:rsid w:val="00F45E1C"/>
    <w:rsid w:val="00F469DA"/>
    <w:rsid w:val="00F46B8D"/>
    <w:rsid w:val="00F477FE"/>
    <w:rsid w:val="00F50003"/>
    <w:rsid w:val="00F50CB9"/>
    <w:rsid w:val="00F52F0C"/>
    <w:rsid w:val="00F53CD4"/>
    <w:rsid w:val="00F5423D"/>
    <w:rsid w:val="00F556FF"/>
    <w:rsid w:val="00F56124"/>
    <w:rsid w:val="00F566D3"/>
    <w:rsid w:val="00F5750F"/>
    <w:rsid w:val="00F57895"/>
    <w:rsid w:val="00F6021D"/>
    <w:rsid w:val="00F60885"/>
    <w:rsid w:val="00F60DDE"/>
    <w:rsid w:val="00F61D79"/>
    <w:rsid w:val="00F625E1"/>
    <w:rsid w:val="00F6278E"/>
    <w:rsid w:val="00F628B0"/>
    <w:rsid w:val="00F62B6E"/>
    <w:rsid w:val="00F62D83"/>
    <w:rsid w:val="00F65398"/>
    <w:rsid w:val="00F654BE"/>
    <w:rsid w:val="00F656E6"/>
    <w:rsid w:val="00F65948"/>
    <w:rsid w:val="00F65FAF"/>
    <w:rsid w:val="00F66008"/>
    <w:rsid w:val="00F663A6"/>
    <w:rsid w:val="00F66680"/>
    <w:rsid w:val="00F66C28"/>
    <w:rsid w:val="00F66E42"/>
    <w:rsid w:val="00F671C6"/>
    <w:rsid w:val="00F6757F"/>
    <w:rsid w:val="00F70F2A"/>
    <w:rsid w:val="00F70FE5"/>
    <w:rsid w:val="00F71ED3"/>
    <w:rsid w:val="00F727CB"/>
    <w:rsid w:val="00F733C9"/>
    <w:rsid w:val="00F749AF"/>
    <w:rsid w:val="00F752D4"/>
    <w:rsid w:val="00F766B2"/>
    <w:rsid w:val="00F76B9D"/>
    <w:rsid w:val="00F77135"/>
    <w:rsid w:val="00F771F1"/>
    <w:rsid w:val="00F80338"/>
    <w:rsid w:val="00F80F35"/>
    <w:rsid w:val="00F811D5"/>
    <w:rsid w:val="00F81337"/>
    <w:rsid w:val="00F81E59"/>
    <w:rsid w:val="00F826E8"/>
    <w:rsid w:val="00F82FA0"/>
    <w:rsid w:val="00F8335D"/>
    <w:rsid w:val="00F83AD4"/>
    <w:rsid w:val="00F83BB0"/>
    <w:rsid w:val="00F83D5B"/>
    <w:rsid w:val="00F83EC5"/>
    <w:rsid w:val="00F842FF"/>
    <w:rsid w:val="00F8477B"/>
    <w:rsid w:val="00F86A23"/>
    <w:rsid w:val="00F86AFB"/>
    <w:rsid w:val="00F86EAC"/>
    <w:rsid w:val="00F86FF5"/>
    <w:rsid w:val="00F87851"/>
    <w:rsid w:val="00F87A5E"/>
    <w:rsid w:val="00F90C09"/>
    <w:rsid w:val="00F90E31"/>
    <w:rsid w:val="00F91655"/>
    <w:rsid w:val="00F93158"/>
    <w:rsid w:val="00F933F4"/>
    <w:rsid w:val="00F9424E"/>
    <w:rsid w:val="00F95AB9"/>
    <w:rsid w:val="00F960F0"/>
    <w:rsid w:val="00F96227"/>
    <w:rsid w:val="00F97FE7"/>
    <w:rsid w:val="00FA00D7"/>
    <w:rsid w:val="00FA110B"/>
    <w:rsid w:val="00FA12E0"/>
    <w:rsid w:val="00FA1489"/>
    <w:rsid w:val="00FA174F"/>
    <w:rsid w:val="00FA1EC3"/>
    <w:rsid w:val="00FA2186"/>
    <w:rsid w:val="00FA28B5"/>
    <w:rsid w:val="00FA2D27"/>
    <w:rsid w:val="00FA2E00"/>
    <w:rsid w:val="00FA2E08"/>
    <w:rsid w:val="00FA3097"/>
    <w:rsid w:val="00FA338A"/>
    <w:rsid w:val="00FA33E5"/>
    <w:rsid w:val="00FA37C6"/>
    <w:rsid w:val="00FA3D42"/>
    <w:rsid w:val="00FA52FF"/>
    <w:rsid w:val="00FA5F0F"/>
    <w:rsid w:val="00FA5F3D"/>
    <w:rsid w:val="00FA7DB4"/>
    <w:rsid w:val="00FB3249"/>
    <w:rsid w:val="00FB444E"/>
    <w:rsid w:val="00FB45CC"/>
    <w:rsid w:val="00FB52FD"/>
    <w:rsid w:val="00FB5856"/>
    <w:rsid w:val="00FB5EC3"/>
    <w:rsid w:val="00FB6069"/>
    <w:rsid w:val="00FB60D3"/>
    <w:rsid w:val="00FB6520"/>
    <w:rsid w:val="00FB6CFF"/>
    <w:rsid w:val="00FB7CD3"/>
    <w:rsid w:val="00FC0D7A"/>
    <w:rsid w:val="00FC12D6"/>
    <w:rsid w:val="00FC1B5B"/>
    <w:rsid w:val="00FC1C3C"/>
    <w:rsid w:val="00FC2160"/>
    <w:rsid w:val="00FC2218"/>
    <w:rsid w:val="00FC2BA0"/>
    <w:rsid w:val="00FC2F5C"/>
    <w:rsid w:val="00FC312C"/>
    <w:rsid w:val="00FC318E"/>
    <w:rsid w:val="00FC336F"/>
    <w:rsid w:val="00FC370A"/>
    <w:rsid w:val="00FC3A1F"/>
    <w:rsid w:val="00FC4BB0"/>
    <w:rsid w:val="00FC4E57"/>
    <w:rsid w:val="00FC4F48"/>
    <w:rsid w:val="00FC5A60"/>
    <w:rsid w:val="00FC7126"/>
    <w:rsid w:val="00FC7143"/>
    <w:rsid w:val="00FC7505"/>
    <w:rsid w:val="00FC7C7F"/>
    <w:rsid w:val="00FD118E"/>
    <w:rsid w:val="00FD2441"/>
    <w:rsid w:val="00FD2958"/>
    <w:rsid w:val="00FD3616"/>
    <w:rsid w:val="00FD3A4D"/>
    <w:rsid w:val="00FD3F4C"/>
    <w:rsid w:val="00FD420D"/>
    <w:rsid w:val="00FD44AB"/>
    <w:rsid w:val="00FD4A4B"/>
    <w:rsid w:val="00FD4F07"/>
    <w:rsid w:val="00FD508C"/>
    <w:rsid w:val="00FD511B"/>
    <w:rsid w:val="00FD5C41"/>
    <w:rsid w:val="00FD5E2D"/>
    <w:rsid w:val="00FD617F"/>
    <w:rsid w:val="00FD7AD8"/>
    <w:rsid w:val="00FD7BFC"/>
    <w:rsid w:val="00FD7C67"/>
    <w:rsid w:val="00FD7CAB"/>
    <w:rsid w:val="00FD7DD0"/>
    <w:rsid w:val="00FE0E04"/>
    <w:rsid w:val="00FE0FCA"/>
    <w:rsid w:val="00FE12F6"/>
    <w:rsid w:val="00FE1AEA"/>
    <w:rsid w:val="00FE20AE"/>
    <w:rsid w:val="00FE322E"/>
    <w:rsid w:val="00FE3CBE"/>
    <w:rsid w:val="00FE416E"/>
    <w:rsid w:val="00FE4BDD"/>
    <w:rsid w:val="00FE5443"/>
    <w:rsid w:val="00FE6357"/>
    <w:rsid w:val="00FE639A"/>
    <w:rsid w:val="00FE6B1B"/>
    <w:rsid w:val="00FF1F1D"/>
    <w:rsid w:val="00FF27D2"/>
    <w:rsid w:val="00FF2FF6"/>
    <w:rsid w:val="00FF31FB"/>
    <w:rsid w:val="00FF34FD"/>
    <w:rsid w:val="00FF392F"/>
    <w:rsid w:val="00FF44FD"/>
    <w:rsid w:val="00FF53E4"/>
    <w:rsid w:val="00FF5A3D"/>
    <w:rsid w:val="00FF662E"/>
    <w:rsid w:val="00FF7050"/>
    <w:rsid w:val="00FF7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4B457-F17B-4BD8-A446-FDEE1F0FF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EC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F83EC5"/>
    <w:pPr>
      <w:keepNext/>
      <w:spacing w:before="240" w:after="60"/>
      <w:outlineLvl w:val="0"/>
    </w:pPr>
    <w:rPr>
      <w:rFonts w:ascii="Times New Roman" w:hAnsi="Times New Roman" w:cs="Times New Roman"/>
      <w:b/>
      <w:bCs/>
      <w:kern w:val="32"/>
      <w:sz w:val="28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83EC5"/>
    <w:rPr>
      <w:b/>
      <w:bCs/>
      <w:kern w:val="32"/>
      <w:sz w:val="28"/>
      <w:szCs w:val="32"/>
    </w:rPr>
  </w:style>
  <w:style w:type="paragraph" w:styleId="TM1">
    <w:name w:val="toc 1"/>
    <w:basedOn w:val="Normal"/>
    <w:next w:val="Normal"/>
    <w:autoRedefine/>
    <w:uiPriority w:val="39"/>
    <w:qFormat/>
    <w:rsid w:val="00F83EC5"/>
    <w:pPr>
      <w:spacing w:before="120"/>
    </w:pPr>
    <w:rPr>
      <w:rFonts w:ascii="Calibri" w:hAnsi="Calibri" w:cs="Times New Roman"/>
      <w:b/>
      <w:bCs/>
      <w:i/>
      <w:iCs/>
      <w:szCs w:val="28"/>
    </w:rPr>
  </w:style>
  <w:style w:type="paragraph" w:styleId="TM2">
    <w:name w:val="toc 2"/>
    <w:basedOn w:val="Normal"/>
    <w:next w:val="Normal"/>
    <w:autoRedefine/>
    <w:uiPriority w:val="39"/>
    <w:semiHidden/>
    <w:qFormat/>
    <w:rsid w:val="00F83EC5"/>
    <w:pPr>
      <w:spacing w:before="120"/>
      <w:ind w:left="240"/>
    </w:pPr>
    <w:rPr>
      <w:rFonts w:ascii="Calibri" w:hAnsi="Calibri" w:cs="Times New Roman"/>
      <w:b/>
      <w:bCs/>
      <w:sz w:val="22"/>
      <w:szCs w:val="26"/>
    </w:rPr>
  </w:style>
  <w:style w:type="paragraph" w:styleId="TM3">
    <w:name w:val="toc 3"/>
    <w:basedOn w:val="Normal"/>
    <w:next w:val="Normal"/>
    <w:autoRedefine/>
    <w:uiPriority w:val="39"/>
    <w:semiHidden/>
    <w:qFormat/>
    <w:rsid w:val="00F83EC5"/>
    <w:pPr>
      <w:ind w:left="480"/>
    </w:pPr>
    <w:rPr>
      <w:rFonts w:ascii="Calibri" w:hAnsi="Calibri" w:cs="Times New Roman"/>
      <w:sz w:val="20"/>
    </w:rPr>
  </w:style>
  <w:style w:type="paragraph" w:styleId="Lgende">
    <w:name w:val="caption"/>
    <w:aliases w:val="Titre1+Rouge"/>
    <w:basedOn w:val="Normal"/>
    <w:next w:val="Normal"/>
    <w:qFormat/>
    <w:rsid w:val="00F83EC5"/>
    <w:rPr>
      <w:rFonts w:cs="Times New Roman"/>
    </w:rPr>
  </w:style>
  <w:style w:type="paragraph" w:styleId="Sansinterligne">
    <w:name w:val="No Spacing"/>
    <w:link w:val="SansinterligneCar"/>
    <w:uiPriority w:val="1"/>
    <w:qFormat/>
    <w:rsid w:val="00F83EC5"/>
    <w:rPr>
      <w:rFonts w:ascii="Calibri" w:hAnsi="Calibri" w:cs="Arial"/>
      <w:sz w:val="22"/>
      <w:szCs w:val="22"/>
      <w:lang w:eastAsia="en-US"/>
    </w:rPr>
  </w:style>
  <w:style w:type="character" w:customStyle="1" w:styleId="SansinterligneCar">
    <w:name w:val="Sans interligne Car"/>
    <w:basedOn w:val="Policepardfaut"/>
    <w:link w:val="Sansinterligne"/>
    <w:uiPriority w:val="1"/>
    <w:rsid w:val="00F83EC5"/>
    <w:rPr>
      <w:rFonts w:ascii="Calibri" w:hAnsi="Calibri" w:cs="Arial"/>
      <w:sz w:val="22"/>
      <w:szCs w:val="22"/>
      <w:lang w:val="fr-FR" w:eastAsia="en-US" w:bidi="ar-SA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83EC5"/>
    <w:pPr>
      <w:keepLines/>
      <w:widowControl/>
      <w:autoSpaceDE/>
      <w:autoSpaceDN/>
      <w:adjustRightInd/>
      <w:spacing w:before="480" w:after="0" w:line="276" w:lineRule="auto"/>
      <w:outlineLvl w:val="9"/>
    </w:pPr>
    <w:rPr>
      <w:rFonts w:ascii="Cambria" w:hAnsi="Cambria"/>
      <w:color w:val="365F91"/>
      <w:kern w:val="0"/>
      <w:szCs w:val="28"/>
      <w:lang w:eastAsia="en-US"/>
    </w:rPr>
  </w:style>
  <w:style w:type="paragraph" w:customStyle="1" w:styleId="titre2">
    <w:name w:val="titre2"/>
    <w:basedOn w:val="Normal"/>
    <w:qFormat/>
    <w:rsid w:val="00F83EC5"/>
    <w:pPr>
      <w:tabs>
        <w:tab w:val="left" w:pos="-720"/>
      </w:tabs>
      <w:spacing w:line="300" w:lineRule="atLeast"/>
      <w:jc w:val="both"/>
    </w:pPr>
    <w:rPr>
      <w:rFonts w:ascii="Univers" w:hAnsi="Univers" w:cs="Univers"/>
      <w:b/>
      <w:bCs/>
      <w:spacing w:val="-3"/>
    </w:rPr>
  </w:style>
  <w:style w:type="paragraph" w:customStyle="1" w:styleId="titre3">
    <w:name w:val="titre3"/>
    <w:basedOn w:val="Normal"/>
    <w:qFormat/>
    <w:rsid w:val="00F83EC5"/>
    <w:pPr>
      <w:tabs>
        <w:tab w:val="left" w:pos="-720"/>
      </w:tabs>
      <w:spacing w:line="300" w:lineRule="atLeast"/>
      <w:jc w:val="both"/>
    </w:pPr>
    <w:rPr>
      <w:rFonts w:ascii="Univers" w:hAnsi="Univers" w:cs="Univers"/>
      <w:b/>
      <w:bCs/>
      <w:spacing w:val="-3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9452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452B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D6C0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character" w:styleId="Lienhypertexte">
    <w:name w:val="Hyperlink"/>
    <w:basedOn w:val="Policepardfaut"/>
    <w:uiPriority w:val="99"/>
    <w:unhideWhenUsed/>
    <w:rsid w:val="005D6C02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5D6C0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centuation">
    <w:name w:val="Emphasis"/>
    <w:basedOn w:val="Policepardfaut"/>
    <w:uiPriority w:val="20"/>
    <w:qFormat/>
    <w:rsid w:val="00E9062C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46070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60705"/>
    <w:rPr>
      <w:rFonts w:ascii="Courier New" w:hAnsi="Courier New" w:cs="Courier New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46070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60705"/>
    <w:rPr>
      <w:rFonts w:ascii="Courier New" w:hAnsi="Courier New" w:cs="Courier New"/>
      <w:sz w:val="24"/>
      <w:szCs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E265E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265E4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265E4"/>
    <w:rPr>
      <w:rFonts w:ascii="Courier New" w:hAnsi="Courier New" w:cs="Courier New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265E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265E4"/>
    <w:rPr>
      <w:rFonts w:ascii="Courier New" w:hAnsi="Courier New" w:cs="Courier New"/>
      <w:b/>
      <w:bCs/>
    </w:rPr>
  </w:style>
  <w:style w:type="paragraph" w:styleId="NormalWeb">
    <w:name w:val="Normal (Web)"/>
    <w:basedOn w:val="Normal"/>
    <w:uiPriority w:val="99"/>
    <w:semiHidden/>
    <w:unhideWhenUsed/>
    <w:rsid w:val="003E789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://www.hcp.ma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de_calcul_Microsoft_Excel4.xlsx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>
        <c:manualLayout>
          <c:layoutTarget val="inner"/>
          <c:xMode val="edge"/>
          <c:yMode val="edge"/>
          <c:x val="6.011623547056625E-2"/>
          <c:y val="0.17385241101060714"/>
          <c:w val="0.91979999560854531"/>
          <c:h val="0.69816761827452012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48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1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2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'tableau note fr'!$B$3:$BB$3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fr'!$B$4:$BB$4</c:f>
              <c:numCache>
                <c:formatCode>0.0</c:formatCode>
                <c:ptCount val="53"/>
                <c:pt idx="0">
                  <c:v>85.866502294191648</c:v>
                </c:pt>
                <c:pt idx="1">
                  <c:v>77.678707955852914</c:v>
                </c:pt>
                <c:pt idx="2">
                  <c:v>75.552480635756268</c:v>
                </c:pt>
                <c:pt idx="3">
                  <c:v>80.136884034904384</c:v>
                </c:pt>
                <c:pt idx="4">
                  <c:v>76.902419880745626</c:v>
                </c:pt>
                <c:pt idx="5">
                  <c:v>77.636131881705708</c:v>
                </c:pt>
                <c:pt idx="6">
                  <c:v>79.135624759962667</c:v>
                </c:pt>
                <c:pt idx="7">
                  <c:v>79.463913413558046</c:v>
                </c:pt>
                <c:pt idx="8">
                  <c:v>80.136086093619056</c:v>
                </c:pt>
                <c:pt idx="9">
                  <c:v>78.833388330574053</c:v>
                </c:pt>
                <c:pt idx="10">
                  <c:v>78.629956901853419</c:v>
                </c:pt>
                <c:pt idx="11">
                  <c:v>74.744893710814793</c:v>
                </c:pt>
                <c:pt idx="12">
                  <c:v>78.406406130604665</c:v>
                </c:pt>
                <c:pt idx="13">
                  <c:v>85.78953263253247</c:v>
                </c:pt>
                <c:pt idx="14">
                  <c:v>86.506225251482533</c:v>
                </c:pt>
                <c:pt idx="15">
                  <c:v>84.477214694877262</c:v>
                </c:pt>
                <c:pt idx="16">
                  <c:v>82.880478542821351</c:v>
                </c:pt>
                <c:pt idx="17">
                  <c:v>80.673652783725359</c:v>
                </c:pt>
                <c:pt idx="18">
                  <c:v>77.553867036569216</c:v>
                </c:pt>
                <c:pt idx="19">
                  <c:v>78.403353681349728</c:v>
                </c:pt>
                <c:pt idx="20">
                  <c:v>75.830193123476278</c:v>
                </c:pt>
                <c:pt idx="21">
                  <c:v>74.26831493920966</c:v>
                </c:pt>
                <c:pt idx="22">
                  <c:v>75.40113716912164</c:v>
                </c:pt>
                <c:pt idx="23">
                  <c:v>74.15325435026638</c:v>
                </c:pt>
                <c:pt idx="24">
                  <c:v>74.110620959006027</c:v>
                </c:pt>
                <c:pt idx="25">
                  <c:v>74.014553099961731</c:v>
                </c:pt>
                <c:pt idx="26">
                  <c:v>73.148145370690258</c:v>
                </c:pt>
                <c:pt idx="27">
                  <c:v>71.583460003653627</c:v>
                </c:pt>
                <c:pt idx="28">
                  <c:v>73.659282965035374</c:v>
                </c:pt>
                <c:pt idx="29">
                  <c:v>76.125099572807784</c:v>
                </c:pt>
                <c:pt idx="30">
                  <c:v>76.315005733685837</c:v>
                </c:pt>
                <c:pt idx="31">
                  <c:v>77.131028825386352</c:v>
                </c:pt>
                <c:pt idx="32">
                  <c:v>71.648499016392478</c:v>
                </c:pt>
                <c:pt idx="33">
                  <c:v>75.703427371681059</c:v>
                </c:pt>
                <c:pt idx="34">
                  <c:v>73.804891243097046</c:v>
                </c:pt>
                <c:pt idx="35">
                  <c:v>73.539376287214708</c:v>
                </c:pt>
                <c:pt idx="36">
                  <c:v>78.230698468980961</c:v>
                </c:pt>
                <c:pt idx="37">
                  <c:v>85.8</c:v>
                </c:pt>
                <c:pt idx="38">
                  <c:v>85.5</c:v>
                </c:pt>
                <c:pt idx="39">
                  <c:v>85.9</c:v>
                </c:pt>
                <c:pt idx="40">
                  <c:v>87.317111388814197</c:v>
                </c:pt>
                <c:pt idx="41">
                  <c:v>87.279337774029116</c:v>
                </c:pt>
                <c:pt idx="42">
                  <c:v>82.473279380066572</c:v>
                </c:pt>
                <c:pt idx="43">
                  <c:v>79.8</c:v>
                </c:pt>
                <c:pt idx="44">
                  <c:v>79.10498186316967</c:v>
                </c:pt>
                <c:pt idx="45">
                  <c:v>74.905107002702309</c:v>
                </c:pt>
                <c:pt idx="46">
                  <c:v>74.821311833193775</c:v>
                </c:pt>
                <c:pt idx="47">
                  <c:v>77.783342120372509</c:v>
                </c:pt>
                <c:pt idx="48">
                  <c:v>75.733160637772556</c:v>
                </c:pt>
                <c:pt idx="49">
                  <c:v>65.597735117391267</c:v>
                </c:pt>
                <c:pt idx="50">
                  <c:v>60.6</c:v>
                </c:pt>
                <c:pt idx="51">
                  <c:v>61.15460503678139</c:v>
                </c:pt>
                <c:pt idx="52">
                  <c:v>68.3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87939808"/>
        <c:axId val="1087944160"/>
      </c:barChart>
      <c:catAx>
        <c:axId val="10879398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87944160"/>
        <c:crosses val="autoZero"/>
        <c:auto val="1"/>
        <c:lblAlgn val="ctr"/>
        <c:lblOffset val="100"/>
        <c:noMultiLvlLbl val="0"/>
      </c:catAx>
      <c:valAx>
        <c:axId val="1087944160"/>
        <c:scaling>
          <c:orientation val="minMax"/>
          <c:min val="50"/>
        </c:scaling>
        <c:delete val="0"/>
        <c:axPos val="l"/>
        <c:numFmt formatCode="#,##0" sourceLinked="0"/>
        <c:majorTickMark val="out"/>
        <c:minorTickMark val="none"/>
        <c:tickLblPos val="nextTo"/>
        <c:crossAx val="1087939808"/>
        <c:crosses val="autoZero"/>
        <c:crossBetween val="between"/>
      </c:valAx>
    </c:plotArea>
    <c:plotVisOnly val="1"/>
    <c:dispBlanksAs val="gap"/>
    <c:showDLblsOverMax val="0"/>
  </c:chart>
  <c:spPr>
    <a:ln w="3175">
      <a:solidFill>
        <a:schemeClr val="tx1"/>
      </a:solidFill>
    </a:ln>
  </c:spPr>
  <c:txPr>
    <a:bodyPr/>
    <a:lstStyle/>
    <a:p>
      <a:pPr>
        <a:defRPr sz="700"/>
      </a:pPr>
      <a:endParaRPr lang="fr-F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'tableau note fr'!$A$6</c:f>
              <c:strCache>
                <c:ptCount val="1"/>
                <c:pt idx="0">
                  <c:v>Evolution  passée du niveau de vie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fr'!$B$3:$BB$3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fr'!$B$6:$BB$6</c:f>
              <c:numCache>
                <c:formatCode>#,##0.0</c:formatCode>
                <c:ptCount val="53"/>
                <c:pt idx="0">
                  <c:v>-10.399945582052929</c:v>
                </c:pt>
                <c:pt idx="1">
                  <c:v>-25.15337945599229</c:v>
                </c:pt>
                <c:pt idx="2">
                  <c:v>-31.141291421499748</c:v>
                </c:pt>
                <c:pt idx="3">
                  <c:v>-29.393844818665286</c:v>
                </c:pt>
                <c:pt idx="4">
                  <c:v>-36.652789359955584</c:v>
                </c:pt>
                <c:pt idx="5">
                  <c:v>-29.108394514506987</c:v>
                </c:pt>
                <c:pt idx="6">
                  <c:v>-25.702364309825629</c:v>
                </c:pt>
                <c:pt idx="7">
                  <c:v>-26.546435956901789</c:v>
                </c:pt>
                <c:pt idx="8">
                  <c:v>-25.723634629572985</c:v>
                </c:pt>
                <c:pt idx="9">
                  <c:v>-28.56499551903989</c:v>
                </c:pt>
                <c:pt idx="10">
                  <c:v>-27.930454212484364</c:v>
                </c:pt>
                <c:pt idx="11">
                  <c:v>-37.236760344983438</c:v>
                </c:pt>
                <c:pt idx="12">
                  <c:v>-26.050959167650106</c:v>
                </c:pt>
                <c:pt idx="13">
                  <c:v>-16.961438303130866</c:v>
                </c:pt>
                <c:pt idx="14">
                  <c:v>-13.439142519852025</c:v>
                </c:pt>
                <c:pt idx="15">
                  <c:v>-20.224270151200944</c:v>
                </c:pt>
                <c:pt idx="16">
                  <c:v>-26.170201326733839</c:v>
                </c:pt>
                <c:pt idx="17">
                  <c:v>-21.816848529134631</c:v>
                </c:pt>
                <c:pt idx="18">
                  <c:v>-27.85707555673623</c:v>
                </c:pt>
                <c:pt idx="19">
                  <c:v>-28.088708351168655</c:v>
                </c:pt>
                <c:pt idx="20">
                  <c:v>-29.212341127418195</c:v>
                </c:pt>
                <c:pt idx="21">
                  <c:v>-23.102864483982088</c:v>
                </c:pt>
                <c:pt idx="22">
                  <c:v>-21.158266803557588</c:v>
                </c:pt>
                <c:pt idx="23">
                  <c:v>-19.887264929132375</c:v>
                </c:pt>
                <c:pt idx="24">
                  <c:v>-18.060219769201886</c:v>
                </c:pt>
                <c:pt idx="25">
                  <c:v>-17.740461010850293</c:v>
                </c:pt>
                <c:pt idx="26">
                  <c:v>-17.387590506775609</c:v>
                </c:pt>
                <c:pt idx="27">
                  <c:v>-16.459915505713987</c:v>
                </c:pt>
                <c:pt idx="28">
                  <c:v>-14.108179132101393</c:v>
                </c:pt>
                <c:pt idx="29">
                  <c:v>-12.785821926678448</c:v>
                </c:pt>
                <c:pt idx="30">
                  <c:v>-15.129825087046068</c:v>
                </c:pt>
                <c:pt idx="31">
                  <c:v>-13.828410383657548</c:v>
                </c:pt>
                <c:pt idx="32">
                  <c:v>-22.864633579953761</c:v>
                </c:pt>
                <c:pt idx="33">
                  <c:v>-15.196177330129153</c:v>
                </c:pt>
                <c:pt idx="34">
                  <c:v>-17.372021059071617</c:v>
                </c:pt>
                <c:pt idx="35">
                  <c:v>-17.464225574589296</c:v>
                </c:pt>
                <c:pt idx="36">
                  <c:v>-11.990228520502564</c:v>
                </c:pt>
                <c:pt idx="37">
                  <c:v>-8.1644944099805006</c:v>
                </c:pt>
                <c:pt idx="38">
                  <c:v>-3.1370023233621227</c:v>
                </c:pt>
                <c:pt idx="39">
                  <c:v>-3.7719246964283601</c:v>
                </c:pt>
                <c:pt idx="40">
                  <c:v>-6.24696090915109</c:v>
                </c:pt>
                <c:pt idx="41" formatCode="General">
                  <c:v>-5.3830093381329069</c:v>
                </c:pt>
                <c:pt idx="42" formatCode="0.0">
                  <c:v>-9.5049571220917919</c:v>
                </c:pt>
                <c:pt idx="43" formatCode="0.0">
                  <c:v>-13.3</c:v>
                </c:pt>
                <c:pt idx="44" formatCode="0.0">
                  <c:v>-14.967427927122976</c:v>
                </c:pt>
                <c:pt idx="45" formatCode="0.0">
                  <c:v>-25.353008106891512</c:v>
                </c:pt>
                <c:pt idx="46" formatCode="0.0">
                  <c:v>-20.237097183526259</c:v>
                </c:pt>
                <c:pt idx="47" formatCode="0.0">
                  <c:v>-19.99689651215731</c:v>
                </c:pt>
                <c:pt idx="48" formatCode="0.0">
                  <c:v>-19.767991560587593</c:v>
                </c:pt>
                <c:pt idx="49" formatCode="0.0">
                  <c:v>-24.751522052511689</c:v>
                </c:pt>
                <c:pt idx="50" formatCode="0.0">
                  <c:v>-35.633876933169311</c:v>
                </c:pt>
                <c:pt idx="51" formatCode="0.0">
                  <c:v>-46.60745892258192</c:v>
                </c:pt>
                <c:pt idx="52" formatCode="0.0">
                  <c:v>-50.5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'tableau note fr'!$A$7</c:f>
              <c:strCache>
                <c:ptCount val="1"/>
                <c:pt idx="0">
                  <c:v>Perspective d'évolution du niveau de vie</c:v>
                </c:pt>
              </c:strCache>
            </c:strRef>
          </c:tx>
          <c:cat>
            <c:strRef>
              <c:f>'tableau note fr'!$B$3:$BB$3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fr'!$B$7:$BB$7</c:f>
              <c:numCache>
                <c:formatCode>#,##0.0</c:formatCode>
                <c:ptCount val="53"/>
                <c:pt idx="0">
                  <c:v>14.440493946063453</c:v>
                </c:pt>
                <c:pt idx="1">
                  <c:v>-11.52673084245559</c:v>
                </c:pt>
                <c:pt idx="2">
                  <c:v>-21.380291437825413</c:v>
                </c:pt>
                <c:pt idx="3">
                  <c:v>-3.4692228168248267</c:v>
                </c:pt>
                <c:pt idx="4">
                  <c:v>-9.3118753956095954</c:v>
                </c:pt>
                <c:pt idx="5">
                  <c:v>-3.5223109272796771</c:v>
                </c:pt>
                <c:pt idx="6">
                  <c:v>8.4334302751113033E-2</c:v>
                </c:pt>
                <c:pt idx="7">
                  <c:v>2.1853913991610052</c:v>
                </c:pt>
                <c:pt idx="8">
                  <c:v>0.39154986438085709</c:v>
                </c:pt>
                <c:pt idx="9">
                  <c:v>2.7314646872285109</c:v>
                </c:pt>
                <c:pt idx="10">
                  <c:v>0.194183257999551</c:v>
                </c:pt>
                <c:pt idx="11">
                  <c:v>-11.371112777150765</c:v>
                </c:pt>
                <c:pt idx="12">
                  <c:v>-1.8875512037963609</c:v>
                </c:pt>
                <c:pt idx="13">
                  <c:v>18.132139936578781</c:v>
                </c:pt>
                <c:pt idx="14">
                  <c:v>11.870106120928304</c:v>
                </c:pt>
                <c:pt idx="15">
                  <c:v>13.146309479543481</c:v>
                </c:pt>
                <c:pt idx="16">
                  <c:v>11.211772002164619</c:v>
                </c:pt>
                <c:pt idx="17">
                  <c:v>8.9776180181468028</c:v>
                </c:pt>
                <c:pt idx="18">
                  <c:v>-3.2327838268829292</c:v>
                </c:pt>
                <c:pt idx="19">
                  <c:v>-1.2159862376115478</c:v>
                </c:pt>
                <c:pt idx="20">
                  <c:v>-5.0957647237932591</c:v>
                </c:pt>
                <c:pt idx="21">
                  <c:v>-4.2068608448306488</c:v>
                </c:pt>
                <c:pt idx="22">
                  <c:v>-3.0973555754801207</c:v>
                </c:pt>
                <c:pt idx="23">
                  <c:v>-7.9340099346010531</c:v>
                </c:pt>
                <c:pt idx="24">
                  <c:v>-11.389732068783623</c:v>
                </c:pt>
                <c:pt idx="25">
                  <c:v>-13.063768224593518</c:v>
                </c:pt>
                <c:pt idx="26">
                  <c:v>-13.090700094553394</c:v>
                </c:pt>
                <c:pt idx="27">
                  <c:v>-12.672429336417766</c:v>
                </c:pt>
                <c:pt idx="28">
                  <c:v>-8.8537661336825266</c:v>
                </c:pt>
                <c:pt idx="29">
                  <c:v>-7.2727206831161864</c:v>
                </c:pt>
                <c:pt idx="30">
                  <c:v>-7.7131091840762114</c:v>
                </c:pt>
                <c:pt idx="31">
                  <c:v>-8.0828133778612727</c:v>
                </c:pt>
                <c:pt idx="32">
                  <c:v>-14.22824639578895</c:v>
                </c:pt>
                <c:pt idx="33">
                  <c:v>-7.5906192549525784</c:v>
                </c:pt>
                <c:pt idx="34">
                  <c:v>-7.0591296227720894</c:v>
                </c:pt>
                <c:pt idx="35">
                  <c:v>-2.3745123557304657</c:v>
                </c:pt>
                <c:pt idx="36">
                  <c:v>5.7386765593441833</c:v>
                </c:pt>
                <c:pt idx="37">
                  <c:v>11.056984366480357</c:v>
                </c:pt>
                <c:pt idx="38">
                  <c:v>10.513852464527606</c:v>
                </c:pt>
                <c:pt idx="39">
                  <c:v>11.534776778164916</c:v>
                </c:pt>
                <c:pt idx="40">
                  <c:v>16.612852585837704</c:v>
                </c:pt>
                <c:pt idx="41" formatCode="General">
                  <c:v>14.986375562038818</c:v>
                </c:pt>
                <c:pt idx="42" formatCode="0.0">
                  <c:v>11.908882798368182</c:v>
                </c:pt>
                <c:pt idx="43" formatCode="0.0">
                  <c:v>9</c:v>
                </c:pt>
                <c:pt idx="44" formatCode="0.0">
                  <c:v>9.9894562713734416</c:v>
                </c:pt>
                <c:pt idx="45" formatCode="0.0">
                  <c:v>4.7256177899689273</c:v>
                </c:pt>
                <c:pt idx="46" formatCode="0.0">
                  <c:v>-3.6764057837750337</c:v>
                </c:pt>
                <c:pt idx="47" formatCode="0.0">
                  <c:v>-2.1591381326741157</c:v>
                </c:pt>
                <c:pt idx="48" formatCode="0.0">
                  <c:v>-4.6486149345966226</c:v>
                </c:pt>
                <c:pt idx="49" formatCode="0.0">
                  <c:v>-11.439989639150372</c:v>
                </c:pt>
                <c:pt idx="50" formatCode="0.0">
                  <c:v>-17.395183495255491</c:v>
                </c:pt>
                <c:pt idx="51" formatCode="0.0">
                  <c:v>-17.398438698388123</c:v>
                </c:pt>
                <c:pt idx="52" formatCode="0.0">
                  <c:v>13.2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87940896"/>
        <c:axId val="1087941440"/>
      </c:lineChart>
      <c:catAx>
        <c:axId val="108794089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087941440"/>
        <c:crosses val="autoZero"/>
        <c:auto val="1"/>
        <c:lblAlgn val="ctr"/>
        <c:lblOffset val="100"/>
        <c:noMultiLvlLbl val="0"/>
      </c:catAx>
      <c:valAx>
        <c:axId val="1087941440"/>
        <c:scaling>
          <c:orientation val="minMax"/>
        </c:scaling>
        <c:delete val="0"/>
        <c:axPos val="l"/>
        <c:majorGridlines/>
        <c:numFmt formatCode="#,##0" sourceLinked="0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700"/>
            </a:pPr>
            <a:endParaRPr lang="fr-FR"/>
          </a:p>
        </c:txPr>
        <c:crossAx val="1087940896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lang="en-US" b="1"/>
          </a:pPr>
          <a:endParaRPr lang="fr-FR"/>
        </a:p>
      </c:txPr>
    </c:legend>
    <c:plotVisOnly val="1"/>
    <c:dispBlanksAs val="gap"/>
    <c:showDLblsOverMax val="0"/>
  </c:chart>
  <c:spPr>
    <a:ln w="3175">
      <a:solidFill>
        <a:schemeClr val="tx1"/>
      </a:solidFill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'tableau note fr'!$A$5</c:f>
              <c:strCache>
                <c:ptCount val="1"/>
                <c:pt idx="0">
                  <c:v>Perspective d'évolution du nombre de chômeur</c:v>
                </c:pt>
              </c:strCache>
            </c:strRef>
          </c:tx>
          <c:marker>
            <c:symbol val="none"/>
          </c:marker>
          <c:cat>
            <c:strRef>
              <c:f>'tableau note fr'!$B$3:$BB$3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fr'!$B$5:$BB$5</c:f>
              <c:numCache>
                <c:formatCode>#,##0.0</c:formatCode>
                <c:ptCount val="53"/>
                <c:pt idx="0">
                  <c:v>-52.095692279179261</c:v>
                </c:pt>
                <c:pt idx="1">
                  <c:v>-56.601297669293196</c:v>
                </c:pt>
                <c:pt idx="2">
                  <c:v>-51.593765595534528</c:v>
                </c:pt>
                <c:pt idx="3">
                  <c:v>-51.137343653505525</c:v>
                </c:pt>
                <c:pt idx="4">
                  <c:v>-50.999102607130283</c:v>
                </c:pt>
                <c:pt idx="5">
                  <c:v>-59.135165785990033</c:v>
                </c:pt>
                <c:pt idx="6">
                  <c:v>-57.930600458568428</c:v>
                </c:pt>
                <c:pt idx="7">
                  <c:v>-57.51774952397647</c:v>
                </c:pt>
                <c:pt idx="8">
                  <c:v>-59.239397454073007</c:v>
                </c:pt>
                <c:pt idx="9">
                  <c:v>-61.048152851769579</c:v>
                </c:pt>
                <c:pt idx="10">
                  <c:v>-56.106436371502731</c:v>
                </c:pt>
                <c:pt idx="11">
                  <c:v>-52.335316844022501</c:v>
                </c:pt>
                <c:pt idx="12">
                  <c:v>-52.408437207990296</c:v>
                </c:pt>
                <c:pt idx="13">
                  <c:v>-45.982278486233419</c:v>
                </c:pt>
                <c:pt idx="14">
                  <c:v>-40.986479794930496</c:v>
                </c:pt>
                <c:pt idx="15">
                  <c:v>-41.619683700101234</c:v>
                </c:pt>
                <c:pt idx="16">
                  <c:v>-44.058495214148614</c:v>
                </c:pt>
                <c:pt idx="17">
                  <c:v>-48.557155794606146</c:v>
                </c:pt>
                <c:pt idx="18">
                  <c:v>-56.657119953107134</c:v>
                </c:pt>
                <c:pt idx="19">
                  <c:v>-58.054676707354794</c:v>
                </c:pt>
                <c:pt idx="20">
                  <c:v>-61.683132655398175</c:v>
                </c:pt>
                <c:pt idx="21">
                  <c:v>-67.848891093145681</c:v>
                </c:pt>
                <c:pt idx="22">
                  <c:v>-69.816287861188869</c:v>
                </c:pt>
                <c:pt idx="23">
                  <c:v>-68.20001271186625</c:v>
                </c:pt>
                <c:pt idx="24">
                  <c:v>-69.100751044168078</c:v>
                </c:pt>
                <c:pt idx="25">
                  <c:v>-66.493969881109351</c:v>
                </c:pt>
                <c:pt idx="26">
                  <c:v>-68.825577821249766</c:v>
                </c:pt>
                <c:pt idx="27">
                  <c:v>-68.019160185663324</c:v>
                </c:pt>
                <c:pt idx="28">
                  <c:v>-65.155740215393507</c:v>
                </c:pt>
                <c:pt idx="29">
                  <c:v>-67.056481822589447</c:v>
                </c:pt>
                <c:pt idx="30">
                  <c:v>-66.189276460398091</c:v>
                </c:pt>
                <c:pt idx="31">
                  <c:v>-64.100777949741655</c:v>
                </c:pt>
                <c:pt idx="32">
                  <c:v>-67.734442836360856</c:v>
                </c:pt>
                <c:pt idx="33">
                  <c:v>-68.976178952187539</c:v>
                </c:pt>
                <c:pt idx="34">
                  <c:v>-70.599999999999994</c:v>
                </c:pt>
                <c:pt idx="35">
                  <c:v>-66.808709762830389</c:v>
                </c:pt>
                <c:pt idx="36">
                  <c:v>-64.932045987858601</c:v>
                </c:pt>
                <c:pt idx="37">
                  <c:v>-54.327058153454743</c:v>
                </c:pt>
                <c:pt idx="38">
                  <c:v>-59.886763094223092</c:v>
                </c:pt>
                <c:pt idx="39">
                  <c:v>-58.5</c:v>
                </c:pt>
                <c:pt idx="40">
                  <c:v>-54.525998602090162</c:v>
                </c:pt>
                <c:pt idx="41" formatCode="General">
                  <c:v>-61.706282712863526</c:v>
                </c:pt>
                <c:pt idx="42" formatCode="0.0">
                  <c:v>-65.247643368132259</c:v>
                </c:pt>
                <c:pt idx="43" formatCode="0.0">
                  <c:v>-70</c:v>
                </c:pt>
                <c:pt idx="44" formatCode="0.0">
                  <c:v>-75.565732444458703</c:v>
                </c:pt>
                <c:pt idx="45" formatCode="0.0">
                  <c:v>-76.905120512383789</c:v>
                </c:pt>
                <c:pt idx="46" formatCode="0.0">
                  <c:v>-71.817697941940608</c:v>
                </c:pt>
                <c:pt idx="47" formatCode="0.0">
                  <c:v>-71.645886731132009</c:v>
                </c:pt>
                <c:pt idx="48" formatCode="0.0">
                  <c:v>-70.7934404370435</c:v>
                </c:pt>
                <c:pt idx="49" formatCode="0.0">
                  <c:v>-75.168553605935443</c:v>
                </c:pt>
                <c:pt idx="50" formatCode="0.0">
                  <c:v>-82.012609773267997</c:v>
                </c:pt>
                <c:pt idx="51" formatCode="0.0">
                  <c:v>-78.280561499164364</c:v>
                </c:pt>
                <c:pt idx="52" formatCode="0.0">
                  <c:v>-62.2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087939264"/>
        <c:axId val="1087941984"/>
      </c:lineChart>
      <c:catAx>
        <c:axId val="108793926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087941984"/>
        <c:crosses val="autoZero"/>
        <c:auto val="1"/>
        <c:lblAlgn val="ctr"/>
        <c:lblOffset val="100"/>
        <c:noMultiLvlLbl val="0"/>
      </c:catAx>
      <c:valAx>
        <c:axId val="1087941984"/>
        <c:scaling>
          <c:orientation val="minMax"/>
        </c:scaling>
        <c:delete val="0"/>
        <c:axPos val="l"/>
        <c:majorGridlines/>
        <c:numFmt formatCode="#,##0" sourceLinked="0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087939264"/>
        <c:crosses val="autoZero"/>
        <c:crossBetween val="between"/>
      </c:valAx>
    </c:plotArea>
    <c:plotVisOnly val="1"/>
    <c:dispBlanksAs val="gap"/>
    <c:showDLblsOverMax val="0"/>
  </c:chart>
  <c:spPr>
    <a:ln w="3175">
      <a:solidFill>
        <a:schemeClr val="tx1"/>
      </a:solidFill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lang="en-US" sz="14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fr-FR" sz="1400" b="1" i="0" baseline="0"/>
              <a:t> </a:t>
            </a:r>
            <a:endParaRPr lang="fr-FR" sz="1400"/>
          </a:p>
        </c:rich>
      </c:tx>
      <c:layout>
        <c:manualLayout>
          <c:xMode val="edge"/>
          <c:yMode val="edge"/>
          <c:x val="0.10994037982122319"/>
          <c:y val="0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4.4033556097871122E-2"/>
          <c:y val="5.1572425636220484E-2"/>
          <c:w val="0.92924619930027696"/>
          <c:h val="0.76224539601896979"/>
        </c:manualLayout>
      </c:layout>
      <c:lineChart>
        <c:grouping val="standard"/>
        <c:varyColors val="0"/>
        <c:ser>
          <c:idx val="0"/>
          <c:order val="0"/>
          <c:tx>
            <c:strRef>
              <c:f>'tableau note fr'!$A$8</c:f>
              <c:strCache>
                <c:ptCount val="1"/>
                <c:pt idx="0">
                  <c:v>Opportunité d'achat</c:v>
                </c:pt>
              </c:strCache>
            </c:strRef>
          </c:tx>
          <c:marker>
            <c:symbol val="none"/>
          </c:marker>
          <c:cat>
            <c:strRef>
              <c:f>'tableau note fr'!$B$3:$BB$3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fr'!$B$8:$BB$8</c:f>
              <c:numCache>
                <c:formatCode>#,##0.0</c:formatCode>
                <c:ptCount val="53"/>
                <c:pt idx="0">
                  <c:v>-30.018449770831769</c:v>
                </c:pt>
                <c:pt idx="1">
                  <c:v>-34.254528080670752</c:v>
                </c:pt>
                <c:pt idx="2">
                  <c:v>-37.471777984571169</c:v>
                </c:pt>
                <c:pt idx="3">
                  <c:v>-39.103064640682895</c:v>
                </c:pt>
                <c:pt idx="4">
                  <c:v>-41.765350509033979</c:v>
                </c:pt>
                <c:pt idx="5">
                  <c:v>-46.542730671354157</c:v>
                </c:pt>
                <c:pt idx="6">
                  <c:v>-43.408027388108131</c:v>
                </c:pt>
                <c:pt idx="7">
                  <c:v>-42.642623532569331</c:v>
                </c:pt>
                <c:pt idx="8">
                  <c:v>-34.756506471721544</c:v>
                </c:pt>
                <c:pt idx="9">
                  <c:v>-37.532519098271919</c:v>
                </c:pt>
                <c:pt idx="10">
                  <c:v>-36.012077907569903</c:v>
                </c:pt>
                <c:pt idx="11">
                  <c:v>-44.335673139521013</c:v>
                </c:pt>
                <c:pt idx="12">
                  <c:v>-39.86007627761667</c:v>
                </c:pt>
                <c:pt idx="13">
                  <c:v>-39.017818744674372</c:v>
                </c:pt>
                <c:pt idx="14">
                  <c:v>-36.350911088685244</c:v>
                </c:pt>
                <c:pt idx="15">
                  <c:v>-38.491211120248494</c:v>
                </c:pt>
                <c:pt idx="16">
                  <c:v>-32.485234146306901</c:v>
                </c:pt>
                <c:pt idx="17">
                  <c:v>-37.38858716910044</c:v>
                </c:pt>
                <c:pt idx="18">
                  <c:v>-29.521996232881474</c:v>
                </c:pt>
                <c:pt idx="19">
                  <c:v>-29.332441443088875</c:v>
                </c:pt>
                <c:pt idx="20">
                  <c:v>-28.348240299081677</c:v>
                </c:pt>
                <c:pt idx="21">
                  <c:v>-31.722199742496027</c:v>
                </c:pt>
                <c:pt idx="22">
                  <c:v>-29.53704552622213</c:v>
                </c:pt>
                <c:pt idx="23">
                  <c:v>-31.849081241594892</c:v>
                </c:pt>
                <c:pt idx="24">
                  <c:v>-31.319060011477994</c:v>
                </c:pt>
                <c:pt idx="25">
                  <c:v>-28.892463445062127</c:v>
                </c:pt>
                <c:pt idx="26">
                  <c:v>-33.067265037911191</c:v>
                </c:pt>
                <c:pt idx="27">
                  <c:v>-38.061946980941102</c:v>
                </c:pt>
                <c:pt idx="28">
                  <c:v>-36.986420638663795</c:v>
                </c:pt>
                <c:pt idx="29">
                  <c:v>-35.967938268219903</c:v>
                </c:pt>
                <c:pt idx="30">
                  <c:v>-34.247070009141204</c:v>
                </c:pt>
                <c:pt idx="31">
                  <c:v>-37.509325471422414</c:v>
                </c:pt>
                <c:pt idx="32">
                  <c:v>-40.239810197161113</c:v>
                </c:pt>
                <c:pt idx="33">
                  <c:v>-34.794169125290885</c:v>
                </c:pt>
                <c:pt idx="34">
                  <c:v>-40.511458517814845</c:v>
                </c:pt>
                <c:pt idx="35">
                  <c:v>-43.033835365277199</c:v>
                </c:pt>
                <c:pt idx="36">
                  <c:v>-39.999291784066394</c:v>
                </c:pt>
                <c:pt idx="37">
                  <c:v>-28.160977836062902</c:v>
                </c:pt>
                <c:pt idx="38">
                  <c:v>-31.475843594428067</c:v>
                </c:pt>
                <c:pt idx="39">
                  <c:v>-25.6</c:v>
                </c:pt>
                <c:pt idx="40">
                  <c:v>-27.189644342164513</c:v>
                </c:pt>
                <c:pt idx="41" formatCode="General">
                  <c:v>-25.753095123938731</c:v>
                </c:pt>
                <c:pt idx="42" formatCode="0.0">
                  <c:v>-30.193271317535196</c:v>
                </c:pt>
                <c:pt idx="43" formatCode="0.0">
                  <c:v>-36.800000000000004</c:v>
                </c:pt>
                <c:pt idx="44" formatCode="0.0">
                  <c:v>-36.294477943510053</c:v>
                </c:pt>
                <c:pt idx="45" formatCode="0.0">
                  <c:v>-41.423646990592751</c:v>
                </c:pt>
                <c:pt idx="46" formatCode="0.0">
                  <c:v>-37.730567473068334</c:v>
                </c:pt>
                <c:pt idx="47" formatCode="0.0">
                  <c:v>-29.21833531467249</c:v>
                </c:pt>
                <c:pt idx="48" formatCode="0.0">
                  <c:v>-32.611752500665851</c:v>
                </c:pt>
                <c:pt idx="49" formatCode="0.0">
                  <c:v>-67.951617125134092</c:v>
                </c:pt>
                <c:pt idx="50" formatCode="0.0">
                  <c:v>-63.469757370471996</c:v>
                </c:pt>
                <c:pt idx="51" formatCode="0.0">
                  <c:v>-61.233843482530801</c:v>
                </c:pt>
                <c:pt idx="52" formatCode="0.0">
                  <c:v>-61.6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087938720"/>
        <c:axId val="1087943072"/>
      </c:lineChart>
      <c:catAx>
        <c:axId val="108793872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087943072"/>
        <c:crosses val="autoZero"/>
        <c:auto val="1"/>
        <c:lblAlgn val="ctr"/>
        <c:lblOffset val="100"/>
        <c:noMultiLvlLbl val="0"/>
      </c:catAx>
      <c:valAx>
        <c:axId val="1087943072"/>
        <c:scaling>
          <c:orientation val="minMax"/>
        </c:scaling>
        <c:delete val="0"/>
        <c:axPos val="l"/>
        <c:majorGridlines/>
        <c:numFmt formatCode="#,##0" sourceLinked="0"/>
        <c:majorTickMark val="out"/>
        <c:minorTickMark val="none"/>
        <c:tickLblPos val="nextTo"/>
        <c:txPr>
          <a:bodyPr/>
          <a:lstStyle/>
          <a:p>
            <a:pPr>
              <a:defRPr lang="en-US" sz="900"/>
            </a:pPr>
            <a:endParaRPr lang="fr-FR"/>
          </a:p>
        </c:txPr>
        <c:crossAx val="1087938720"/>
        <c:crosses val="autoZero"/>
        <c:crossBetween val="between"/>
      </c:valAx>
    </c:plotArea>
    <c:plotVisOnly val="1"/>
    <c:dispBlanksAs val="gap"/>
    <c:showDLblsOverMax val="0"/>
  </c:chart>
  <c:spPr>
    <a:ln w="3175">
      <a:solidFill>
        <a:schemeClr val="tx1"/>
      </a:solidFill>
    </a:ln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6863351819674883E-2"/>
          <c:y val="4.7960240443819913E-2"/>
          <c:w val="0.91973204979759959"/>
          <c:h val="0.63319244469144065"/>
        </c:manualLayout>
      </c:layout>
      <c:lineChart>
        <c:grouping val="standard"/>
        <c:varyColors val="0"/>
        <c:ser>
          <c:idx val="0"/>
          <c:order val="0"/>
          <c:tx>
            <c:strRef>
              <c:f>'tableau note fr'!$A$9</c:f>
              <c:strCache>
                <c:ptCount val="1"/>
                <c:pt idx="0">
                  <c:v>Situation financière actuelle des ménages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fr'!$B$3:$BB$3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fr'!$B$9:$BB$9</c:f>
              <c:numCache>
                <c:formatCode>#,##0.0</c:formatCode>
                <c:ptCount val="53"/>
                <c:pt idx="0">
                  <c:v>-33.000396349797541</c:v>
                </c:pt>
                <c:pt idx="1">
                  <c:v>-32.92085732825101</c:v>
                </c:pt>
                <c:pt idx="2">
                  <c:v>-34.418326375664194</c:v>
                </c:pt>
                <c:pt idx="3">
                  <c:v>-33.119220631579381</c:v>
                </c:pt>
                <c:pt idx="4">
                  <c:v>-31.284887127595891</c:v>
                </c:pt>
                <c:pt idx="5">
                  <c:v>-26.871936633729426</c:v>
                </c:pt>
                <c:pt idx="6">
                  <c:v>-28.286909450889887</c:v>
                </c:pt>
                <c:pt idx="7">
                  <c:v>-25.297554133135563</c:v>
                </c:pt>
                <c:pt idx="8">
                  <c:v>-27.535808431365773</c:v>
                </c:pt>
                <c:pt idx="9">
                  <c:v>-27.628417792744592</c:v>
                </c:pt>
                <c:pt idx="10">
                  <c:v>-29.997502753451052</c:v>
                </c:pt>
                <c:pt idx="11">
                  <c:v>-28.062624892496295</c:v>
                </c:pt>
                <c:pt idx="12">
                  <c:v>-30.645498931903713</c:v>
                </c:pt>
                <c:pt idx="13">
                  <c:v>-27.092549889444289</c:v>
                </c:pt>
                <c:pt idx="14">
                  <c:v>-24.28899054728441</c:v>
                </c:pt>
                <c:pt idx="15">
                  <c:v>-25.669712181349713</c:v>
                </c:pt>
                <c:pt idx="16">
                  <c:v>-25.435462945688826</c:v>
                </c:pt>
                <c:pt idx="17">
                  <c:v>-31.040689498948886</c:v>
                </c:pt>
                <c:pt idx="18">
                  <c:v>-30.846093343724181</c:v>
                </c:pt>
                <c:pt idx="19">
                  <c:v>-29.426966691861249</c:v>
                </c:pt>
                <c:pt idx="20">
                  <c:v>-29.764200665198015</c:v>
                </c:pt>
                <c:pt idx="21">
                  <c:v>-30.168616451396016</c:v>
                </c:pt>
                <c:pt idx="22">
                  <c:v>-29.484131282651198</c:v>
                </c:pt>
                <c:pt idx="23">
                  <c:v>-29.485585569479927</c:v>
                </c:pt>
                <c:pt idx="24">
                  <c:v>-31.290770339915024</c:v>
                </c:pt>
                <c:pt idx="25">
                  <c:v>-29.704256665370011</c:v>
                </c:pt>
                <c:pt idx="26">
                  <c:v>-28.344504427944035</c:v>
                </c:pt>
                <c:pt idx="27">
                  <c:v>-30.637429411694068</c:v>
                </c:pt>
                <c:pt idx="28">
                  <c:v>-32.404955656558201</c:v>
                </c:pt>
                <c:pt idx="29">
                  <c:v>-28</c:v>
                </c:pt>
                <c:pt idx="30">
                  <c:v>-25.071467645625653</c:v>
                </c:pt>
                <c:pt idx="31">
                  <c:v>-25.699936983325852</c:v>
                </c:pt>
                <c:pt idx="32">
                  <c:v>-27.232686212381399</c:v>
                </c:pt>
                <c:pt idx="33">
                  <c:v>-22.997618165471859</c:v>
                </c:pt>
                <c:pt idx="34">
                  <c:v>-25.8</c:v>
                </c:pt>
                <c:pt idx="35">
                  <c:v>-28.725836843764018</c:v>
                </c:pt>
                <c:pt idx="36">
                  <c:v>-27.797585066069505</c:v>
                </c:pt>
                <c:pt idx="37">
                  <c:v>-25.340990239285759</c:v>
                </c:pt>
                <c:pt idx="38">
                  <c:v>-22.581783906285729</c:v>
                </c:pt>
                <c:pt idx="39">
                  <c:v>-24.392000147868323</c:v>
                </c:pt>
                <c:pt idx="40">
                  <c:v>-25.236685531801317</c:v>
                </c:pt>
                <c:pt idx="41" formatCode="General">
                  <c:v>-24.077817715725971</c:v>
                </c:pt>
                <c:pt idx="42" formatCode="0.0">
                  <c:v>-29.675061855859198</c:v>
                </c:pt>
                <c:pt idx="43" formatCode="0.0">
                  <c:v>-28.4</c:v>
                </c:pt>
                <c:pt idx="44" formatCode="0.0">
                  <c:v>-28.87430663790132</c:v>
                </c:pt>
                <c:pt idx="45" formatCode="0.0">
                  <c:v>-30.794330285810986</c:v>
                </c:pt>
                <c:pt idx="46" formatCode="0.0">
                  <c:v>-29.543474949783889</c:v>
                </c:pt>
                <c:pt idx="47" formatCode="0.0">
                  <c:v>-26.38685501138583</c:v>
                </c:pt>
                <c:pt idx="48" formatCode="0.0">
                  <c:v>-27.711995909750659</c:v>
                </c:pt>
                <c:pt idx="49" formatCode="0.0">
                  <c:v>-29.955220894721613</c:v>
                </c:pt>
                <c:pt idx="50" formatCode="0.0">
                  <c:v>-31.504825451700494</c:v>
                </c:pt>
                <c:pt idx="51" formatCode="0.0">
                  <c:v>-29.083585505842859</c:v>
                </c:pt>
                <c:pt idx="52" formatCode="0.0">
                  <c:v>-34.4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'tableau note fr'!$A$10</c:f>
              <c:strCache>
                <c:ptCount val="1"/>
                <c:pt idx="0">
                  <c:v>Evolution  passée de la situation financière des ménages</c:v>
                </c:pt>
              </c:strCache>
            </c:strRef>
          </c:tx>
          <c:cat>
            <c:strRef>
              <c:f>'tableau note fr'!$B$3:$BB$3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fr'!$B$10:$BB$10</c:f>
              <c:numCache>
                <c:formatCode>#,##0.0</c:formatCode>
                <c:ptCount val="53"/>
                <c:pt idx="0">
                  <c:v>-11.760493904860514</c:v>
                </c:pt>
                <c:pt idx="1">
                  <c:v>-11.376439540974186</c:v>
                </c:pt>
                <c:pt idx="2">
                  <c:v>-11.707546774199256</c:v>
                </c:pt>
                <c:pt idx="3">
                  <c:v>-9.5250570435126427</c:v>
                </c:pt>
                <c:pt idx="4">
                  <c:v>-18.438210074457334</c:v>
                </c:pt>
                <c:pt idx="5">
                  <c:v>-13.353492384896775</c:v>
                </c:pt>
                <c:pt idx="6">
                  <c:v>-8.3398771422969418</c:v>
                </c:pt>
                <c:pt idx="7">
                  <c:v>-11.02764060888175</c:v>
                </c:pt>
                <c:pt idx="8">
                  <c:v>-9.9712946623485852</c:v>
                </c:pt>
                <c:pt idx="9">
                  <c:v>-7.900036816111526</c:v>
                </c:pt>
                <c:pt idx="10">
                  <c:v>-7.5448517126855705</c:v>
                </c:pt>
                <c:pt idx="11">
                  <c:v>-12.80990794833837</c:v>
                </c:pt>
                <c:pt idx="12">
                  <c:v>-10.526395373972909</c:v>
                </c:pt>
                <c:pt idx="13">
                  <c:v>-8.9058745431594577</c:v>
                </c:pt>
                <c:pt idx="14">
                  <c:v>-6.3663328535796895</c:v>
                </c:pt>
                <c:pt idx="15">
                  <c:v>-9.8004349690184185</c:v>
                </c:pt>
                <c:pt idx="16">
                  <c:v>-14.12986220998387</c:v>
                </c:pt>
                <c:pt idx="17">
                  <c:v>-16.595107957258964</c:v>
                </c:pt>
                <c:pt idx="18">
                  <c:v>-16.673706990082124</c:v>
                </c:pt>
                <c:pt idx="19">
                  <c:v>-15.707035536653336</c:v>
                </c:pt>
                <c:pt idx="20">
                  <c:v>-19.633449783694058</c:v>
                </c:pt>
                <c:pt idx="21">
                  <c:v>-23.788807201688929</c:v>
                </c:pt>
                <c:pt idx="22">
                  <c:v>-21.891965579068522</c:v>
                </c:pt>
                <c:pt idx="23">
                  <c:v>-21.870867995539985</c:v>
                </c:pt>
                <c:pt idx="24">
                  <c:v>-21.277780753263979</c:v>
                </c:pt>
                <c:pt idx="25">
                  <c:v>-23.337257864101161</c:v>
                </c:pt>
                <c:pt idx="26">
                  <c:v>-25.773771694272</c:v>
                </c:pt>
                <c:pt idx="27">
                  <c:v>-29.150994705705731</c:v>
                </c:pt>
                <c:pt idx="28">
                  <c:v>-26.965288381475741</c:v>
                </c:pt>
                <c:pt idx="29">
                  <c:v>-20.216971341645095</c:v>
                </c:pt>
                <c:pt idx="30">
                  <c:v>-20.789363149769251</c:v>
                </c:pt>
                <c:pt idx="31">
                  <c:v>-18.50333400384844</c:v>
                </c:pt>
                <c:pt idx="32">
                  <c:v>-27.398022856415203</c:v>
                </c:pt>
                <c:pt idx="33">
                  <c:v>-22.820131487915329</c:v>
                </c:pt>
                <c:pt idx="34">
                  <c:v>-26.987361336961161</c:v>
                </c:pt>
                <c:pt idx="35">
                  <c:v>-33.305012733303052</c:v>
                </c:pt>
                <c:pt idx="36">
                  <c:v>-26.764408087130526</c:v>
                </c:pt>
                <c:pt idx="37">
                  <c:v>-16.626704252959726</c:v>
                </c:pt>
                <c:pt idx="38">
                  <c:v>-14.506801572644624</c:v>
                </c:pt>
                <c:pt idx="39">
                  <c:v>-16.7</c:v>
                </c:pt>
                <c:pt idx="40">
                  <c:v>-18.12020796730943</c:v>
                </c:pt>
                <c:pt idx="41" formatCode="General">
                  <c:v>-15.241299993196499</c:v>
                </c:pt>
                <c:pt idx="42" formatCode="0.0">
                  <c:v>-18.212765523946558</c:v>
                </c:pt>
                <c:pt idx="43" formatCode="0.0">
                  <c:v>-20.7</c:v>
                </c:pt>
                <c:pt idx="44" formatCode="0.0">
                  <c:v>-21.239570741294095</c:v>
                </c:pt>
                <c:pt idx="45" formatCode="0.0">
                  <c:v>-24.187755596841431</c:v>
                </c:pt>
                <c:pt idx="46" formatCode="0.0">
                  <c:v>-26.020639530378212</c:v>
                </c:pt>
                <c:pt idx="47" formatCode="0.0">
                  <c:v>-22.058531326387186</c:v>
                </c:pt>
                <c:pt idx="48" formatCode="0.0">
                  <c:v>-22.878127876162242</c:v>
                </c:pt>
                <c:pt idx="49" formatCode="0.0">
                  <c:v>-26.986745192981431</c:v>
                </c:pt>
                <c:pt idx="50" formatCode="0.0">
                  <c:v>-33.978821699551595</c:v>
                </c:pt>
                <c:pt idx="51" formatCode="0.0">
                  <c:v>-39.901098518697069</c:v>
                </c:pt>
                <c:pt idx="52" formatCode="0.0">
                  <c:v>-47.4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'tableau note fr'!$A$11</c:f>
              <c:strCache>
                <c:ptCount val="1"/>
                <c:pt idx="0">
                  <c:v>Evolution  future de la situation financière des ménages</c:v>
                </c:pt>
              </c:strCache>
            </c:strRef>
          </c:tx>
          <c:cat>
            <c:strRef>
              <c:f>'tableau note fr'!$B$3:$BB$3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fr'!$B$11:$BB$11</c:f>
              <c:numCache>
                <c:formatCode>#,##0.0</c:formatCode>
                <c:ptCount val="53"/>
                <c:pt idx="0">
                  <c:v>23.9</c:v>
                </c:pt>
                <c:pt idx="1">
                  <c:v>15.58418860861071</c:v>
                </c:pt>
                <c:pt idx="2">
                  <c:v>16.580364039590329</c:v>
                </c:pt>
                <c:pt idx="3">
                  <c:v>26.705941849103166</c:v>
                </c:pt>
                <c:pt idx="4">
                  <c:v>26.769154239001907</c:v>
                </c:pt>
                <c:pt idx="5">
                  <c:v>21.986954089697061</c:v>
                </c:pt>
                <c:pt idx="6">
                  <c:v>17.532817766676523</c:v>
                </c:pt>
                <c:pt idx="7">
                  <c:v>17.09400625121032</c:v>
                </c:pt>
                <c:pt idx="8">
                  <c:v>17.787694440036187</c:v>
                </c:pt>
                <c:pt idx="9">
                  <c:v>11.776375704730485</c:v>
                </c:pt>
                <c:pt idx="10">
                  <c:v>7.8068380126684715</c:v>
                </c:pt>
                <c:pt idx="11">
                  <c:v>9.3656519222157506</c:v>
                </c:pt>
                <c:pt idx="12">
                  <c:v>10.223761077165181</c:v>
                </c:pt>
                <c:pt idx="13">
                  <c:v>20.354548457792731</c:v>
                </c:pt>
                <c:pt idx="14">
                  <c:v>15.105327443781253</c:v>
                </c:pt>
                <c:pt idx="15">
                  <c:v>13.999505506513676</c:v>
                </c:pt>
                <c:pt idx="16">
                  <c:v>11.230833640450317</c:v>
                </c:pt>
                <c:pt idx="17">
                  <c:v>11.136340416980383</c:v>
                </c:pt>
                <c:pt idx="18">
                  <c:v>7.6658451594012886</c:v>
                </c:pt>
                <c:pt idx="19">
                  <c:v>10.649290737183625</c:v>
                </c:pt>
                <c:pt idx="20">
                  <c:v>4.5484811189173895</c:v>
                </c:pt>
                <c:pt idx="21">
                  <c:v>0.71644439200690369</c:v>
                </c:pt>
                <c:pt idx="22">
                  <c:v>2.7930128120198785</c:v>
                </c:pt>
                <c:pt idx="23">
                  <c:v>-1.7003971659207213</c:v>
                </c:pt>
                <c:pt idx="24">
                  <c:v>1.2126606998519158</c:v>
                </c:pt>
                <c:pt idx="25">
                  <c:v>-2.6659512091834952</c:v>
                </c:pt>
                <c:pt idx="26">
                  <c:v>-1.4735728224612341</c:v>
                </c:pt>
                <c:pt idx="27">
                  <c:v>-3.9139038482871604</c:v>
                </c:pt>
                <c:pt idx="28">
                  <c:v>8.9330913123193523E-2</c:v>
                </c:pt>
                <c:pt idx="29">
                  <c:v>4.1756310519058966</c:v>
                </c:pt>
                <c:pt idx="30">
                  <c:v>3.3451516718598637</c:v>
                </c:pt>
                <c:pt idx="31">
                  <c:v>7.6417999475620588</c:v>
                </c:pt>
                <c:pt idx="32">
                  <c:v>1.237335192809399</c:v>
                </c:pt>
                <c:pt idx="33">
                  <c:v>2.2988859177154</c:v>
                </c:pt>
                <c:pt idx="34">
                  <c:v>4.9642092382991612</c:v>
                </c:pt>
                <c:pt idx="35">
                  <c:v>6.4877666459978194</c:v>
                </c:pt>
                <c:pt idx="36">
                  <c:v>13.359772169150252</c:v>
                </c:pt>
                <c:pt idx="37">
                  <c:v>22.123807522802235</c:v>
                </c:pt>
                <c:pt idx="38">
                  <c:v>19.596485843359812</c:v>
                </c:pt>
                <c:pt idx="39">
                  <c:v>19.180868333171652</c:v>
                </c:pt>
                <c:pt idx="40">
                  <c:v>25.926424488378203</c:v>
                </c:pt>
                <c:pt idx="41" formatCode="General">
                  <c:v>28.130493740025226</c:v>
                </c:pt>
                <c:pt idx="42" formatCode="0.0">
                  <c:v>18.237772049662329</c:v>
                </c:pt>
                <c:pt idx="43" formatCode="0.0">
                  <c:v>19.100000000000001</c:v>
                </c:pt>
                <c:pt idx="44" formatCode="0.0">
                  <c:v>20.686932465103727</c:v>
                </c:pt>
                <c:pt idx="45" formatCode="0.0">
                  <c:v>18.273992721467774</c:v>
                </c:pt>
                <c:pt idx="46" formatCode="0.0">
                  <c:v>12.775065694831193</c:v>
                </c:pt>
                <c:pt idx="47" formatCode="0.0">
                  <c:v>15.949037871016634</c:v>
                </c:pt>
                <c:pt idx="48" formatCode="0.0">
                  <c:v>8.5440476832129519</c:v>
                </c:pt>
                <c:pt idx="49" formatCode="0.0">
                  <c:v>-4.5622056678242258</c:v>
                </c:pt>
                <c:pt idx="50" formatCode="0.0">
                  <c:v>-11.891224568065192</c:v>
                </c:pt>
                <c:pt idx="51" formatCode="0.0">
                  <c:v>0.5872218846748406</c:v>
                </c:pt>
                <c:pt idx="52" formatCode="0.0">
                  <c:v>21.2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87942528"/>
        <c:axId val="1087943616"/>
      </c:lineChart>
      <c:catAx>
        <c:axId val="108794252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lang="en-US" sz="700"/>
            </a:pPr>
            <a:endParaRPr lang="fr-FR"/>
          </a:p>
        </c:txPr>
        <c:crossAx val="1087943616"/>
        <c:crosses val="autoZero"/>
        <c:auto val="1"/>
        <c:lblAlgn val="ctr"/>
        <c:lblOffset val="100"/>
        <c:noMultiLvlLbl val="0"/>
      </c:catAx>
      <c:valAx>
        <c:axId val="1087943616"/>
        <c:scaling>
          <c:orientation val="minMax"/>
        </c:scaling>
        <c:delete val="0"/>
        <c:axPos val="l"/>
        <c:majorGridlines/>
        <c:numFmt formatCode="#,##0" sourceLinked="0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08794252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1565700776777355E-2"/>
          <c:y val="0.794221956839812"/>
          <c:w val="0.92289082848776094"/>
          <c:h val="0.18476196254890351"/>
        </c:manualLayout>
      </c:layout>
      <c:overlay val="0"/>
      <c:txPr>
        <a:bodyPr/>
        <a:lstStyle/>
        <a:p>
          <a:pPr>
            <a:defRPr lang="en-US" b="1"/>
          </a:pPr>
          <a:endParaRPr lang="fr-FR"/>
        </a:p>
      </c:txPr>
    </c:legend>
    <c:plotVisOnly val="1"/>
    <c:dispBlanksAs val="gap"/>
    <c:showDLblsOverMax val="0"/>
  </c:chart>
  <c:spPr>
    <a:ln w="3175">
      <a:solidFill>
        <a:schemeClr val="tx1"/>
      </a:solidFill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0527361936278584E-2"/>
          <c:y val="4.1667856124331444E-2"/>
          <c:w val="0.91007862895562319"/>
          <c:h val="0.66709807471791482"/>
        </c:manualLayout>
      </c:layout>
      <c:lineChart>
        <c:grouping val="standard"/>
        <c:varyColors val="0"/>
        <c:ser>
          <c:idx val="0"/>
          <c:order val="0"/>
          <c:tx>
            <c:strRef>
              <c:f>'tableau note fr'!$A$13</c:f>
              <c:strCache>
                <c:ptCount val="1"/>
                <c:pt idx="0">
                  <c:v>Evolution future des prix des produits alimentaires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fr'!$B$3:$BB$3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fr'!$B$13:$BB$13</c:f>
              <c:numCache>
                <c:formatCode>#,##0.0</c:formatCode>
                <c:ptCount val="53"/>
                <c:pt idx="0">
                  <c:v>-74.061389031284818</c:v>
                </c:pt>
                <c:pt idx="1">
                  <c:v>-77.716574651610443</c:v>
                </c:pt>
                <c:pt idx="2">
                  <c:v>-78.940542419693813</c:v>
                </c:pt>
                <c:pt idx="3">
                  <c:v>-49.653420650313464</c:v>
                </c:pt>
                <c:pt idx="4">
                  <c:v>-34.869529990694446</c:v>
                </c:pt>
                <c:pt idx="5">
                  <c:v>-33.523065681383322</c:v>
                </c:pt>
                <c:pt idx="6">
                  <c:v>-50.919242344766445</c:v>
                </c:pt>
                <c:pt idx="7">
                  <c:v>-47.871947864454533</c:v>
                </c:pt>
                <c:pt idx="8">
                  <c:v>-46.515022811525867</c:v>
                </c:pt>
                <c:pt idx="9">
                  <c:v>-56.832932011427964</c:v>
                </c:pt>
                <c:pt idx="10">
                  <c:v>-62.176731306136965</c:v>
                </c:pt>
                <c:pt idx="11">
                  <c:v>-70.131788082404029</c:v>
                </c:pt>
                <c:pt idx="12">
                  <c:v>-73.412747182583729</c:v>
                </c:pt>
                <c:pt idx="13">
                  <c:v>-58.832065504603946</c:v>
                </c:pt>
                <c:pt idx="14">
                  <c:v>-72.59048616904964</c:v>
                </c:pt>
                <c:pt idx="15">
                  <c:v>-72.96588701243482</c:v>
                </c:pt>
                <c:pt idx="16">
                  <c:v>-69.834720496858949</c:v>
                </c:pt>
                <c:pt idx="17">
                  <c:v>-71.450027411204985</c:v>
                </c:pt>
                <c:pt idx="18">
                  <c:v>-73.578371466433723</c:v>
                </c:pt>
                <c:pt idx="19">
                  <c:v>-70.049698245525676</c:v>
                </c:pt>
                <c:pt idx="20">
                  <c:v>-76.09629668730075</c:v>
                </c:pt>
                <c:pt idx="21">
                  <c:v>-73.375476646911437</c:v>
                </c:pt>
                <c:pt idx="22">
                  <c:v>-76.007455926126042</c:v>
                </c:pt>
                <c:pt idx="23">
                  <c:v>-76.048555842624367</c:v>
                </c:pt>
                <c:pt idx="24">
                  <c:v>-77.551787041299889</c:v>
                </c:pt>
                <c:pt idx="25">
                  <c:v>-78.042355521266373</c:v>
                </c:pt>
                <c:pt idx="26">
                  <c:v>-76.898841721729639</c:v>
                </c:pt>
                <c:pt idx="27">
                  <c:v>-77.2</c:v>
                </c:pt>
                <c:pt idx="28">
                  <c:v>-77.231717010323948</c:v>
                </c:pt>
                <c:pt idx="29">
                  <c:v>-75.641194802119557</c:v>
                </c:pt>
                <c:pt idx="30">
                  <c:v>-75.301499740412396</c:v>
                </c:pt>
                <c:pt idx="31">
                  <c:v>-75.201077205088083</c:v>
                </c:pt>
                <c:pt idx="32">
                  <c:v>-79.25874198980361</c:v>
                </c:pt>
                <c:pt idx="33">
                  <c:v>-77.326465444648022</c:v>
                </c:pt>
                <c:pt idx="34">
                  <c:v>-77.900000000000006</c:v>
                </c:pt>
                <c:pt idx="35">
                  <c:v>-77.33590195130148</c:v>
                </c:pt>
                <c:pt idx="36">
                  <c:v>-77.664169536728878</c:v>
                </c:pt>
                <c:pt idx="37">
                  <c:v>-74.5</c:v>
                </c:pt>
                <c:pt idx="38">
                  <c:v>-73.964173414184586</c:v>
                </c:pt>
                <c:pt idx="39">
                  <c:v>-79.602800137507714</c:v>
                </c:pt>
                <c:pt idx="40">
                  <c:v>-82.909090889011466</c:v>
                </c:pt>
                <c:pt idx="41" formatCode="General">
                  <c:v>-84.024833717392056</c:v>
                </c:pt>
                <c:pt idx="42">
                  <c:v>-82.078038176837183</c:v>
                </c:pt>
                <c:pt idx="43">
                  <c:v>-86.6</c:v>
                </c:pt>
                <c:pt idx="44">
                  <c:v>-87.54271632969234</c:v>
                </c:pt>
                <c:pt idx="45">
                  <c:v>-86.508482649196509</c:v>
                </c:pt>
                <c:pt idx="46">
                  <c:v>-83.288697742697579</c:v>
                </c:pt>
                <c:pt idx="47">
                  <c:v>-82.220036585575144</c:v>
                </c:pt>
                <c:pt idx="48">
                  <c:v>-82.585609750348496</c:v>
                </c:pt>
                <c:pt idx="49">
                  <c:v>-69.044082249116116</c:v>
                </c:pt>
                <c:pt idx="50" formatCode="0.0">
                  <c:v>-68.063522341730973</c:v>
                </c:pt>
                <c:pt idx="51" formatCode="0.0">
                  <c:v>-64.634662916008139</c:v>
                </c:pt>
                <c:pt idx="52" formatCode="0.0">
                  <c:v>-60.2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'tableau note fr'!$A$14</c:f>
              <c:strCache>
                <c:ptCount val="1"/>
                <c:pt idx="0">
                  <c:v>Evolution  passée des prix des produits alimentaires</c:v>
                </c:pt>
              </c:strCache>
            </c:strRef>
          </c:tx>
          <c:cat>
            <c:strRef>
              <c:f>'tableau note fr'!$B$3:$BB$3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fr'!$B$14:$BB$14</c:f>
              <c:numCache>
                <c:formatCode>#,##0.0</c:formatCode>
                <c:ptCount val="53"/>
                <c:pt idx="0">
                  <c:v>-93.561530615416999</c:v>
                </c:pt>
                <c:pt idx="1">
                  <c:v>-95.947220816722407</c:v>
                </c:pt>
                <c:pt idx="2">
                  <c:v>-98.048475442965014</c:v>
                </c:pt>
                <c:pt idx="3">
                  <c:v>-96.216541508823312</c:v>
                </c:pt>
                <c:pt idx="4">
                  <c:v>-93.990402062896209</c:v>
                </c:pt>
                <c:pt idx="5">
                  <c:v>-87.215803326852651</c:v>
                </c:pt>
                <c:pt idx="6">
                  <c:v>-85.738329527783449</c:v>
                </c:pt>
                <c:pt idx="7">
                  <c:v>-83.278098478101356</c:v>
                </c:pt>
                <c:pt idx="8">
                  <c:v>-79.493520436579956</c:v>
                </c:pt>
                <c:pt idx="9">
                  <c:v>-87.814557184919167</c:v>
                </c:pt>
                <c:pt idx="10">
                  <c:v>-89.729007404339953</c:v>
                </c:pt>
                <c:pt idx="11">
                  <c:v>-90.967802162493427</c:v>
                </c:pt>
                <c:pt idx="12">
                  <c:v>-95.526783459398686</c:v>
                </c:pt>
                <c:pt idx="13">
                  <c:v>-87.197236284295727</c:v>
                </c:pt>
                <c:pt idx="14">
                  <c:v>-89.924388392525884</c:v>
                </c:pt>
                <c:pt idx="15">
                  <c:v>-92.495216554147845</c:v>
                </c:pt>
                <c:pt idx="16">
                  <c:v>-91.625316584481624</c:v>
                </c:pt>
                <c:pt idx="17">
                  <c:v>-91.140544889708991</c:v>
                </c:pt>
                <c:pt idx="18">
                  <c:v>-91.653648288633619</c:v>
                </c:pt>
                <c:pt idx="19">
                  <c:v>-90.602273539903038</c:v>
                </c:pt>
                <c:pt idx="20">
                  <c:v>-91.630328830979508</c:v>
                </c:pt>
                <c:pt idx="21">
                  <c:v>-88.947630714849396</c:v>
                </c:pt>
                <c:pt idx="22">
                  <c:v>-90.507981291878522</c:v>
                </c:pt>
                <c:pt idx="23">
                  <c:v>-90.842402571703019</c:v>
                </c:pt>
                <c:pt idx="24">
                  <c:v>-89.421972084851788</c:v>
                </c:pt>
                <c:pt idx="25">
                  <c:v>-84.135715875788918</c:v>
                </c:pt>
                <c:pt idx="26">
                  <c:v>-81.76324966962386</c:v>
                </c:pt>
                <c:pt idx="27">
                  <c:v>-84.521199779532196</c:v>
                </c:pt>
                <c:pt idx="28">
                  <c:v>-87.223881643150108</c:v>
                </c:pt>
                <c:pt idx="29">
                  <c:v>-85.304961002513068</c:v>
                </c:pt>
                <c:pt idx="30">
                  <c:v>-84.284507159523656</c:v>
                </c:pt>
                <c:pt idx="31">
                  <c:v>-85.427496568127424</c:v>
                </c:pt>
                <c:pt idx="32">
                  <c:v>-85.452277394276848</c:v>
                </c:pt>
                <c:pt idx="33">
                  <c:v>-87.871778057967987</c:v>
                </c:pt>
                <c:pt idx="34">
                  <c:v>-87.672521775530797</c:v>
                </c:pt>
                <c:pt idx="35">
                  <c:v>-87.308587775463224</c:v>
                </c:pt>
                <c:pt idx="36">
                  <c:v>-86.771015006658288</c:v>
                </c:pt>
                <c:pt idx="37">
                  <c:v>-86.4</c:v>
                </c:pt>
                <c:pt idx="38">
                  <c:v>-82.805018292489251</c:v>
                </c:pt>
                <c:pt idx="39">
                  <c:v>-88.513579156072012</c:v>
                </c:pt>
                <c:pt idx="40">
                  <c:v>-86.694812387811382</c:v>
                </c:pt>
                <c:pt idx="41" formatCode="General">
                  <c:v>-88.182833745436554</c:v>
                </c:pt>
                <c:pt idx="42">
                  <c:v>-88.119908444008828</c:v>
                </c:pt>
                <c:pt idx="43">
                  <c:v>-90.3</c:v>
                </c:pt>
                <c:pt idx="44">
                  <c:v>-88.136419421127727</c:v>
                </c:pt>
                <c:pt idx="45">
                  <c:v>-88.912542109472369</c:v>
                </c:pt>
                <c:pt idx="46">
                  <c:v>-83.748311328811582</c:v>
                </c:pt>
                <c:pt idx="47">
                  <c:v>-85.084964738360227</c:v>
                </c:pt>
                <c:pt idx="48">
                  <c:v>-82.774085672956858</c:v>
                </c:pt>
                <c:pt idx="49">
                  <c:v>-67.616999612935103</c:v>
                </c:pt>
                <c:pt idx="50" formatCode="0.0">
                  <c:v>-75.123128911649388</c:v>
                </c:pt>
                <c:pt idx="51" formatCode="0.0">
                  <c:v>-74.676635648394679</c:v>
                </c:pt>
                <c:pt idx="52" formatCode="0.0">
                  <c:v>-74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87945248"/>
        <c:axId val="1087945792"/>
      </c:lineChart>
      <c:catAx>
        <c:axId val="108794524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lang="en-US" sz="700"/>
            </a:pPr>
            <a:endParaRPr lang="fr-FR"/>
          </a:p>
        </c:txPr>
        <c:crossAx val="1087945792"/>
        <c:crosses val="autoZero"/>
        <c:auto val="1"/>
        <c:lblAlgn val="ctr"/>
        <c:lblOffset val="100"/>
        <c:noMultiLvlLbl val="0"/>
      </c:catAx>
      <c:valAx>
        <c:axId val="1087945792"/>
        <c:scaling>
          <c:orientation val="minMax"/>
        </c:scaling>
        <c:delete val="0"/>
        <c:axPos val="l"/>
        <c:majorGridlines/>
        <c:numFmt formatCode="#,##0" sourceLinked="0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700"/>
            </a:pPr>
            <a:endParaRPr lang="fr-FR"/>
          </a:p>
        </c:txPr>
        <c:crossAx val="108794524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1154034110537801E-2"/>
          <c:y val="0.85402711737361148"/>
          <c:w val="0.9736942957353566"/>
          <c:h val="0.12443545512795692"/>
        </c:manualLayout>
      </c:layout>
      <c:overlay val="0"/>
      <c:txPr>
        <a:bodyPr/>
        <a:lstStyle/>
        <a:p>
          <a:pPr>
            <a:defRPr lang="en-US" b="1"/>
          </a:pPr>
          <a:endParaRPr lang="fr-FR"/>
        </a:p>
      </c:txPr>
    </c:legend>
    <c:plotVisOnly val="1"/>
    <c:dispBlanksAs val="gap"/>
    <c:showDLblsOverMax val="0"/>
  </c:chart>
  <c:spPr>
    <a:ln w="3175">
      <a:solidFill>
        <a:schemeClr val="tx1"/>
      </a:solidFill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450EB-0F10-42D1-A849-988F33C51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1563</Words>
  <Characters>8600</Characters>
  <Application>Microsoft Office Word</Application>
  <DocSecurity>0</DocSecurity>
  <Lines>71</Lines>
  <Paragraphs>20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10143</CharactersWithSpaces>
  <SharedDoc>false</SharedDoc>
  <HLinks>
    <vt:vector size="6" baseType="variant"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http://www.hcp.ma/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Administrateur</dc:creator>
  <cp:lastModifiedBy>Fainine</cp:lastModifiedBy>
  <cp:revision>2</cp:revision>
  <cp:lastPrinted>2020-01-14T14:51:00Z</cp:lastPrinted>
  <dcterms:created xsi:type="dcterms:W3CDTF">2022-05-17T10:12:00Z</dcterms:created>
  <dcterms:modified xsi:type="dcterms:W3CDTF">2022-05-17T10:12:00Z</dcterms:modified>
</cp:coreProperties>
</file>