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28F" w:rsidRPr="00DA2AC1" w:rsidRDefault="00D9528F" w:rsidP="008E6EF5">
      <w:pPr>
        <w:spacing w:line="360" w:lineRule="auto"/>
        <w:jc w:val="both"/>
        <w:rPr>
          <w:rFonts w:ascii="Times New Roman" w:hAnsi="Times New Roman" w:cs="Simplified Arabic"/>
          <w:b/>
          <w:bCs/>
          <w:color w:val="943634" w:themeColor="accent2" w:themeShade="BF"/>
          <w:sz w:val="28"/>
          <w:szCs w:val="28"/>
          <w:rtl/>
          <w:lang w:bidi="ar-MA"/>
        </w:rPr>
      </w:pPr>
      <w:bookmarkStart w:id="0" w:name="_GoBack"/>
      <w:bookmarkEnd w:id="0"/>
    </w:p>
    <w:p w:rsidR="0047396E" w:rsidRPr="00E335F4" w:rsidRDefault="0047396E" w:rsidP="008E6EF5">
      <w:pPr>
        <w:bidi/>
        <w:spacing w:line="360" w:lineRule="auto"/>
        <w:jc w:val="center"/>
        <w:rPr>
          <w:rFonts w:ascii="Times New Roman" w:hAnsi="Times New Roman" w:cs="Simplified Arabic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E335F4">
        <w:rPr>
          <w:rFonts w:ascii="Times New Roman" w:hAnsi="Times New Roman" w:cs="Simplified Arabic"/>
          <w:b/>
          <w:bCs/>
          <w:color w:val="943634" w:themeColor="accent2" w:themeShade="BF"/>
          <w:sz w:val="32"/>
          <w:szCs w:val="32"/>
          <w:rtl/>
          <w:lang w:bidi="ar-MA"/>
        </w:rPr>
        <w:t>مذكرة إخبارية</w:t>
      </w:r>
      <w:r w:rsidRPr="00E335F4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MA"/>
        </w:rPr>
        <w:t xml:space="preserve"> للمندوبية السامية للتخطيط</w:t>
      </w:r>
    </w:p>
    <w:p w:rsidR="00601E92" w:rsidRDefault="0047396E" w:rsidP="008E6EF5">
      <w:pPr>
        <w:bidi/>
        <w:spacing w:after="240" w:line="360" w:lineRule="auto"/>
        <w:jc w:val="center"/>
        <w:rPr>
          <w:rFonts w:ascii="Times New Roman" w:hAnsi="Times New Roman" w:cs="Simplified Arabic"/>
          <w:b/>
          <w:bCs/>
          <w:color w:val="943634" w:themeColor="accent2" w:themeShade="BF"/>
          <w:sz w:val="32"/>
          <w:szCs w:val="32"/>
          <w:rtl/>
          <w:lang w:bidi="ar-MA"/>
        </w:rPr>
      </w:pPr>
      <w:r w:rsidRPr="00E335F4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MA"/>
        </w:rPr>
        <w:t>نتائج بحث الظرفية لدى الأسر</w:t>
      </w:r>
    </w:p>
    <w:p w:rsidR="0047396E" w:rsidRPr="00E335F4" w:rsidRDefault="00601E92" w:rsidP="008E6EF5">
      <w:pPr>
        <w:bidi/>
        <w:spacing w:after="240" w:line="360" w:lineRule="auto"/>
        <w:jc w:val="center"/>
        <w:rPr>
          <w:rFonts w:ascii="Times New Roman" w:hAnsi="Times New Roman" w:cs="Simplified Arabic"/>
          <w:b/>
          <w:bCs/>
          <w:color w:val="943634" w:themeColor="accent2" w:themeShade="BF"/>
          <w:sz w:val="32"/>
          <w:szCs w:val="32"/>
          <w:rtl/>
        </w:rPr>
      </w:pPr>
      <w:r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DZ"/>
        </w:rPr>
        <w:t>ا</w:t>
      </w:r>
      <w:r w:rsidR="00E306A8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DZ"/>
        </w:rPr>
        <w:t xml:space="preserve">لفصل </w:t>
      </w:r>
      <w:r w:rsidR="00C00C7D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DZ"/>
        </w:rPr>
        <w:t>الثالث</w:t>
      </w:r>
      <w:r w:rsidR="00E306A8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DZ"/>
        </w:rPr>
        <w:t xml:space="preserve"> من </w:t>
      </w:r>
      <w:r w:rsidR="0047396E" w:rsidRPr="00E335F4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MA"/>
        </w:rPr>
        <w:t>سنة 20</w:t>
      </w:r>
      <w:r w:rsidR="006D45F0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  <w:lang w:bidi="ar-MA"/>
        </w:rPr>
        <w:t>2</w:t>
      </w:r>
      <w:r w:rsidR="0090193B">
        <w:rPr>
          <w:rFonts w:ascii="Times New Roman" w:hAnsi="Times New Roman" w:cs="Simplified Arabic" w:hint="cs"/>
          <w:b/>
          <w:bCs/>
          <w:color w:val="943634" w:themeColor="accent2" w:themeShade="BF"/>
          <w:sz w:val="32"/>
          <w:szCs w:val="32"/>
          <w:rtl/>
        </w:rPr>
        <w:t>1</w:t>
      </w:r>
    </w:p>
    <w:p w:rsidR="0047396E" w:rsidRPr="000F62DE" w:rsidRDefault="004675A4" w:rsidP="008E6EF5">
      <w:pPr>
        <w:bidi/>
        <w:spacing w:after="240" w:line="360" w:lineRule="auto"/>
        <w:jc w:val="center"/>
        <w:rPr>
          <w:rFonts w:ascii="Times New Roman" w:hAnsi="Times New Roman" w:cs="Simplified Arabic"/>
          <w:rtl/>
          <w:lang w:bidi="ar-MA"/>
        </w:rPr>
      </w:pPr>
      <w:r>
        <w:rPr>
          <w:rFonts w:ascii="Times New Roman" w:hAnsi="Times New Roman" w:cs="Simplified Arabic"/>
          <w:lang w:bidi="ar-MA"/>
        </w:rPr>
        <w:t xml:space="preserve">                        </w:t>
      </w:r>
    </w:p>
    <w:p w:rsidR="00C3791A" w:rsidRPr="00067D74" w:rsidRDefault="0047396E" w:rsidP="008E6EF5">
      <w:pPr>
        <w:bidi/>
        <w:spacing w:before="240" w:line="360" w:lineRule="auto"/>
        <w:jc w:val="both"/>
        <w:rPr>
          <w:rFonts w:ascii="Times New Roman" w:hAnsi="Times New Roman" w:cs="Simplified Arabic"/>
          <w:bCs/>
          <w:sz w:val="26"/>
          <w:szCs w:val="26"/>
          <w:rtl/>
          <w:lang w:bidi="ar-MA"/>
        </w:rPr>
      </w:pPr>
      <w:r w:rsidRPr="00516647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يتضح من نتائج البحث الدائم حول</w:t>
      </w:r>
      <w:r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 xml:space="preserve"> الظرفية لدى الأسر، المنجز من طرف المندوبية السامية للتخطيط، أن مستوى ثقة الأسر</w:t>
      </w:r>
      <w:r w:rsidR="00DD54BA">
        <w:rPr>
          <w:rFonts w:ascii="Times New Roman" w:hAnsi="Times New Roman" w:cs="Simplified Arabic"/>
          <w:bCs/>
          <w:sz w:val="26"/>
          <w:szCs w:val="26"/>
          <w:lang w:bidi="ar-MA"/>
        </w:rPr>
        <w:t xml:space="preserve"> </w:t>
      </w:r>
      <w:r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عرف</w:t>
      </w:r>
      <w:r w:rsidR="00C53082"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،</w:t>
      </w:r>
      <w:r w:rsidR="00DD54BA">
        <w:rPr>
          <w:rFonts w:ascii="Times New Roman" w:hAnsi="Times New Roman" w:cs="Simplified Arabic"/>
          <w:bCs/>
          <w:sz w:val="26"/>
          <w:szCs w:val="26"/>
          <w:lang w:bidi="ar-MA"/>
        </w:rPr>
        <w:t xml:space="preserve"> </w:t>
      </w:r>
      <w:r w:rsidR="00C53082"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الثالث</w:t>
      </w:r>
      <w:r w:rsidR="00C53082"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 xml:space="preserve"> من سنة </w:t>
      </w:r>
      <w:r w:rsidR="00DD54BA"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2</w:t>
      </w:r>
      <w:r w:rsidR="00DD54BA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1</w:t>
      </w:r>
      <w:r w:rsidR="00DD54BA" w:rsidRPr="00B4355D">
        <w:rPr>
          <w:rFonts w:ascii="Times New Roman" w:hAnsi="Times New Roman" w:cs="Simplified Arabic"/>
          <w:b/>
          <w:sz w:val="26"/>
          <w:szCs w:val="26"/>
          <w:lang w:bidi="ar-MA"/>
        </w:rPr>
        <w:t>20</w:t>
      </w:r>
      <w:r w:rsidR="00DD54BA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 xml:space="preserve"> </w:t>
      </w:r>
      <w:r w:rsidR="00DD54BA">
        <w:rPr>
          <w:rFonts w:ascii="Times New Roman" w:hAnsi="Times New Roman" w:cs="Simplified Arabic"/>
          <w:bCs/>
          <w:sz w:val="26"/>
          <w:szCs w:val="26"/>
          <w:rtl/>
          <w:lang w:bidi="ar-MA"/>
        </w:rPr>
        <w:t>تحسنا</w:t>
      </w:r>
      <w:r w:rsidR="00DD54BA">
        <w:rPr>
          <w:rFonts w:ascii="Times New Roman" w:hAnsi="Times New Roman" w:cs="Simplified Arabic"/>
          <w:bCs/>
          <w:sz w:val="26"/>
          <w:szCs w:val="26"/>
          <w:lang w:bidi="ar-MA"/>
        </w:rPr>
        <w:t xml:space="preserve"> </w:t>
      </w:r>
      <w:r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مقارنة مع الفصل السابق</w:t>
      </w:r>
      <w:r w:rsidR="00DD54BA">
        <w:rPr>
          <w:rFonts w:ascii="Times New Roman" w:hAnsi="Times New Roman" w:cs="Simplified Arabic"/>
          <w:bCs/>
          <w:sz w:val="26"/>
          <w:szCs w:val="26"/>
          <w:lang w:bidi="ar-MA"/>
        </w:rPr>
        <w:t xml:space="preserve"> </w:t>
      </w:r>
      <w:r w:rsidR="00ED61AB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و</w:t>
      </w:r>
      <w:r w:rsidR="00ED61AB" w:rsidRPr="00DD54BA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مع</w:t>
      </w:r>
      <w:r w:rsidR="00BE68F6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 xml:space="preserve"> </w:t>
      </w:r>
      <w:r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نفس الفصل من السنة الماضية</w:t>
      </w:r>
      <w:r w:rsidR="00067D74" w:rsidRPr="0051667C">
        <w:rPr>
          <w:rFonts w:ascii="Times New Roman" w:hAnsi="Times New Roman" w:cs="Simplified Arabic" w:hint="cs"/>
          <w:bCs/>
          <w:sz w:val="26"/>
          <w:szCs w:val="26"/>
          <w:rtl/>
          <w:lang w:bidi="ar-MA"/>
        </w:rPr>
        <w:t>.</w:t>
      </w:r>
    </w:p>
    <w:p w:rsidR="0047396E" w:rsidRPr="00E335F4" w:rsidRDefault="00DD54BA" w:rsidP="008E6EF5">
      <w:pPr>
        <w:bidi/>
        <w:spacing w:before="240" w:line="360" w:lineRule="auto"/>
        <w:jc w:val="both"/>
        <w:rPr>
          <w:rFonts w:ascii="Times New Roman" w:hAnsi="Times New Roman" w:cs="Simplified Arabic"/>
          <w:b/>
          <w:lang w:bidi="ar-MA"/>
        </w:rPr>
      </w:pPr>
      <w:r w:rsidRPr="00DD54BA">
        <w:rPr>
          <w:rFonts w:ascii="Times New Roman" w:hAnsi="Times New Roman" w:cs="Simplified Arabic" w:hint="cs"/>
          <w:rtl/>
          <w:lang w:bidi="ar-MA"/>
        </w:rPr>
        <w:t>و</w:t>
      </w:r>
      <w:r w:rsidR="0047396E" w:rsidRPr="00DD54BA">
        <w:rPr>
          <w:rFonts w:ascii="Times New Roman" w:hAnsi="Times New Roman" w:cs="Simplified Arabic" w:hint="cs"/>
          <w:rtl/>
          <w:lang w:bidi="ar-MA"/>
        </w:rPr>
        <w:t xml:space="preserve">هكذا انتقل مؤشر ثقة الأسر </w:t>
      </w:r>
      <w:r w:rsidRPr="00DD54BA">
        <w:rPr>
          <w:rFonts w:ascii="Times New Roman" w:hAnsi="Times New Roman" w:cs="Simplified Arabic" w:hint="cs"/>
          <w:rtl/>
          <w:lang w:bidi="ar-MA"/>
        </w:rPr>
        <w:t xml:space="preserve">إلى </w:t>
      </w:r>
      <w:r w:rsidR="00BE68F6" w:rsidRPr="00DD54BA">
        <w:rPr>
          <w:rFonts w:ascii="Times New Roman" w:hAnsi="Times New Roman" w:cs="Times New Roman"/>
          <w:color w:val="000000" w:themeColor="text1"/>
        </w:rPr>
        <w:t>65,5</w:t>
      </w:r>
      <w:r w:rsidRPr="00DD54BA">
        <w:rPr>
          <w:rFonts w:ascii="Times New Roman" w:hAnsi="Times New Roman" w:cs="Times New Roman" w:hint="cs"/>
          <w:color w:val="000000" w:themeColor="text1"/>
          <w:rtl/>
        </w:rPr>
        <w:t xml:space="preserve"> </w:t>
      </w:r>
      <w:r w:rsidR="0047396E" w:rsidRPr="00DD54BA">
        <w:rPr>
          <w:rFonts w:ascii="Times New Roman" w:hAnsi="Times New Roman" w:cs="Simplified Arabic" w:hint="cs"/>
          <w:rtl/>
          <w:lang w:bidi="ar-MA"/>
        </w:rPr>
        <w:t>نقطة عوض</w:t>
      </w:r>
      <w:r w:rsidR="00BE68F6" w:rsidRPr="00DD54BA">
        <w:rPr>
          <w:rFonts w:ascii="Times New Roman" w:hAnsi="Times New Roman" w:cs="Times New Roman"/>
          <w:color w:val="000000" w:themeColor="text1"/>
        </w:rPr>
        <w:t>63,0</w:t>
      </w:r>
      <w:r w:rsidRPr="00DD54BA">
        <w:rPr>
          <w:rFonts w:ascii="Times New Roman" w:hAnsi="Times New Roman" w:cs="Times New Roman" w:hint="cs"/>
          <w:color w:val="000000" w:themeColor="text1"/>
          <w:rtl/>
        </w:rPr>
        <w:t xml:space="preserve"> </w:t>
      </w:r>
      <w:r w:rsidR="0047396E" w:rsidRPr="00DD54BA">
        <w:rPr>
          <w:rFonts w:ascii="Times New Roman" w:hAnsi="Times New Roman" w:cs="Simplified Arabic" w:hint="cs"/>
          <w:rtl/>
          <w:lang w:bidi="ar-MA"/>
        </w:rPr>
        <w:t>نقطة المسجلة خلال الفصل السابق و</w:t>
      </w:r>
      <w:r w:rsidRPr="00DD54BA">
        <w:rPr>
          <w:rFonts w:ascii="Times New Roman" w:hAnsi="Times New Roman" w:cs="Simplified Arabic" w:hint="cs"/>
          <w:rtl/>
          <w:lang w:bidi="ar-MA"/>
        </w:rPr>
        <w:t xml:space="preserve"> </w:t>
      </w:r>
      <w:r w:rsidR="00BE68F6" w:rsidRPr="00DD54BA">
        <w:rPr>
          <w:rFonts w:ascii="Times New Roman" w:hAnsi="Times New Roman" w:cs="Times New Roman"/>
          <w:color w:val="000000" w:themeColor="text1"/>
        </w:rPr>
        <w:t>60,6</w:t>
      </w:r>
      <w:r w:rsidRPr="00DD54BA">
        <w:rPr>
          <w:rFonts w:ascii="Times New Roman" w:hAnsi="Times New Roman" w:cs="Simplified Arabic" w:hint="cs"/>
          <w:b/>
          <w:rtl/>
          <w:lang w:bidi="ar-MA"/>
        </w:rPr>
        <w:t xml:space="preserve"> ن</w:t>
      </w:r>
      <w:r w:rsidR="0047396E" w:rsidRPr="00DD54BA">
        <w:rPr>
          <w:rFonts w:ascii="Times New Roman" w:hAnsi="Times New Roman" w:cs="Simplified Arabic" w:hint="cs"/>
          <w:b/>
          <w:rtl/>
          <w:lang w:bidi="ar-MA"/>
        </w:rPr>
        <w:t xml:space="preserve">قطة المسجلة </w:t>
      </w:r>
      <w:r w:rsidRPr="00DD54BA">
        <w:rPr>
          <w:rFonts w:ascii="Times New Roman" w:hAnsi="Times New Roman" w:cs="Simplified Arabic" w:hint="cs"/>
          <w:rtl/>
          <w:lang w:bidi="ar-MA"/>
        </w:rPr>
        <w:t>خلال</w:t>
      </w:r>
      <w:r w:rsidR="0047396E" w:rsidRPr="00DD54BA">
        <w:rPr>
          <w:rFonts w:ascii="Times New Roman" w:hAnsi="Times New Roman" w:cs="Simplified Arabic" w:hint="cs"/>
          <w:b/>
          <w:rtl/>
          <w:lang w:bidi="ar-MA"/>
        </w:rPr>
        <w:t xml:space="preserve"> </w:t>
      </w:r>
      <w:r w:rsidRPr="00DD54BA">
        <w:rPr>
          <w:rFonts w:ascii="Times New Roman" w:hAnsi="Times New Roman" w:cs="Simplified Arabic" w:hint="cs"/>
          <w:b/>
          <w:rtl/>
          <w:lang w:bidi="ar-MA"/>
        </w:rPr>
        <w:t xml:space="preserve">نفس </w:t>
      </w:r>
      <w:r w:rsidR="0047396E" w:rsidRPr="00DD54BA">
        <w:rPr>
          <w:rFonts w:ascii="Times New Roman" w:hAnsi="Times New Roman" w:cs="Simplified Arabic" w:hint="cs"/>
          <w:b/>
          <w:rtl/>
          <w:lang w:bidi="ar-MA"/>
        </w:rPr>
        <w:t>الفصل من السنة الماضية</w:t>
      </w:r>
      <w:r w:rsidR="0047396E" w:rsidRPr="00DD54BA">
        <w:rPr>
          <w:rFonts w:ascii="Times New Roman" w:hAnsi="Times New Roman" w:cs="Simplified Arabic"/>
          <w:b/>
          <w:lang w:bidi="ar-MA"/>
        </w:rPr>
        <w:t>.</w:t>
      </w:r>
    </w:p>
    <w:p w:rsidR="0047396E" w:rsidRPr="000F62DE" w:rsidRDefault="0047396E" w:rsidP="008E6EF5">
      <w:pPr>
        <w:bidi/>
        <w:spacing w:before="240" w:line="360" w:lineRule="auto"/>
        <w:ind w:hanging="1"/>
        <w:jc w:val="center"/>
        <w:rPr>
          <w:rFonts w:ascii="Times New Roman" w:hAnsi="Times New Roman" w:cs="Simplified Arabic"/>
          <w:lang w:bidi="ar-MA"/>
        </w:rPr>
      </w:pPr>
    </w:p>
    <w:p w:rsidR="0047396E" w:rsidRPr="00FC14BB" w:rsidRDefault="00DD54BA" w:rsidP="008E6EF5">
      <w:pPr>
        <w:widowControl/>
        <w:autoSpaceDE/>
        <w:autoSpaceDN/>
        <w:bidi/>
        <w:adjustRightInd/>
        <w:spacing w:line="360" w:lineRule="auto"/>
        <w:jc w:val="center"/>
        <w:rPr>
          <w:rFonts w:ascii="Times New Roman" w:hAnsi="Times New Roman" w:cs="Simplified Arabic"/>
          <w:b/>
          <w:bCs/>
          <w:lang w:bidi="ar-MA"/>
        </w:rPr>
      </w:pPr>
      <w:r w:rsidRPr="00DD54BA">
        <w:rPr>
          <w:rFonts w:ascii="Times New Roman" w:hAnsi="Times New Roman" w:cs="Simplified Arabic"/>
          <w:b/>
          <w:bCs/>
          <w:noProof/>
          <w:rtl/>
        </w:rPr>
        <w:drawing>
          <wp:inline distT="0" distB="0" distL="0" distR="0">
            <wp:extent cx="5934291" cy="3709359"/>
            <wp:effectExtent l="19050" t="0" r="28359" b="5391"/>
            <wp:docPr id="4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335F4" w:rsidRDefault="00E335F4" w:rsidP="008E6EF5">
      <w:pPr>
        <w:pStyle w:val="Paragraphedeliste"/>
        <w:widowControl/>
        <w:autoSpaceDE/>
        <w:autoSpaceDN/>
        <w:bidi/>
        <w:adjustRightInd/>
        <w:spacing w:line="360" w:lineRule="auto"/>
        <w:ind w:left="502"/>
        <w:jc w:val="both"/>
        <w:rPr>
          <w:rFonts w:ascii="Times New Roman" w:hAnsi="Times New Roman" w:cs="Simplified Arabic"/>
          <w:b/>
          <w:bCs/>
          <w:lang w:bidi="ar-MA"/>
        </w:rPr>
      </w:pPr>
    </w:p>
    <w:p w:rsidR="0047396E" w:rsidRPr="000F62DE" w:rsidRDefault="002041DE" w:rsidP="008E6EF5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="Times New Roman" w:hAnsi="Times New Roman" w:cs="Simplified Arabic"/>
          <w:b/>
          <w:bCs/>
          <w:lang w:bidi="ar-MA"/>
        </w:rPr>
      </w:pPr>
      <w:r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تطور مكونات مؤشر ال</w:t>
      </w:r>
      <w:r w:rsidR="0047396E" w:rsidRPr="003549B7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ثقة</w:t>
      </w:r>
    </w:p>
    <w:p w:rsidR="00FC14BB" w:rsidRDefault="0047396E" w:rsidP="008E6EF5">
      <w:pPr>
        <w:bidi/>
        <w:spacing w:line="360" w:lineRule="auto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>تهم هذه المكونات آراء الأسر حول تطور مستوى المعيشة و</w:t>
      </w:r>
      <w:r w:rsidR="00DF74BA" w:rsidRPr="00E335F4">
        <w:rPr>
          <w:rFonts w:ascii="Times New Roman" w:hAnsi="Times New Roman" w:cs="Simplified Arabic" w:hint="cs"/>
          <w:rtl/>
          <w:lang w:bidi="ar-MA"/>
        </w:rPr>
        <w:t xml:space="preserve"> البطالة وفرص اقتناء السلع المستدامة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وكذا </w:t>
      </w:r>
      <w:r w:rsidR="00DF74BA" w:rsidRPr="00E335F4">
        <w:rPr>
          <w:rFonts w:ascii="Times New Roman" w:hAnsi="Times New Roman" w:cs="Simplified Arabic" w:hint="cs"/>
          <w:rtl/>
          <w:lang w:bidi="ar-MA"/>
        </w:rPr>
        <w:t>تطور وضعيتهم المالية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. </w:t>
      </w:r>
    </w:p>
    <w:p w:rsidR="00EF75DF" w:rsidRPr="00FC14BB" w:rsidRDefault="00EF75DF" w:rsidP="008E6EF5">
      <w:pPr>
        <w:bidi/>
        <w:spacing w:line="360" w:lineRule="auto"/>
        <w:jc w:val="both"/>
        <w:rPr>
          <w:rFonts w:ascii="Times New Roman" w:hAnsi="Times New Roman" w:cs="Simplified Arabic"/>
          <w:rtl/>
          <w:lang w:bidi="ar-MA"/>
        </w:rPr>
      </w:pPr>
    </w:p>
    <w:p w:rsidR="00E115CD" w:rsidRDefault="00E115CD" w:rsidP="008E6EF5">
      <w:pPr>
        <w:bidi/>
        <w:spacing w:line="360" w:lineRule="auto"/>
        <w:jc w:val="both"/>
        <w:rPr>
          <w:rFonts w:ascii="Times New Roman" w:hAnsi="Times New Roman" w:cs="Simplified Arabic"/>
          <w:b/>
          <w:bCs/>
          <w:sz w:val="30"/>
          <w:szCs w:val="30"/>
          <w:lang w:bidi="ar-MA"/>
        </w:rPr>
      </w:pPr>
      <w:r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مستوى معيشة الأسر: توقع بتحسنه </w:t>
      </w:r>
    </w:p>
    <w:p w:rsidR="0047396E" w:rsidRPr="00E335F4" w:rsidRDefault="00727EE4" w:rsidP="002406C8">
      <w:pPr>
        <w:bidi/>
        <w:spacing w:line="360" w:lineRule="auto"/>
        <w:jc w:val="both"/>
        <w:rPr>
          <w:rFonts w:ascii="Times New Roman" w:hAnsi="Times New Roman" w:cs="Simplified Arabic"/>
          <w:rtl/>
          <w:lang w:bidi="ar-MA"/>
        </w:rPr>
      </w:pPr>
      <w:r>
        <w:rPr>
          <w:rFonts w:ascii="Times New Roman" w:hAnsi="Times New Roman" w:cs="Simplified Arabic" w:hint="cs"/>
          <w:rtl/>
          <w:lang w:bidi="ar-MA"/>
        </w:rPr>
        <w:t xml:space="preserve">خلال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من سنة 20</w:t>
      </w:r>
      <w:r>
        <w:rPr>
          <w:rFonts w:ascii="Times New Roman" w:hAnsi="Times New Roman" w:cs="Simplified Arabic" w:hint="cs"/>
          <w:rtl/>
          <w:lang w:bidi="ar-MA"/>
        </w:rPr>
        <w:t>2</w:t>
      </w:r>
      <w:r w:rsidR="006B7866">
        <w:rPr>
          <w:rFonts w:ascii="Times New Roman" w:hAnsi="Times New Roman" w:cs="Simplified Arabic" w:hint="cs"/>
          <w:rtl/>
          <w:lang w:bidi="ar-MA"/>
        </w:rPr>
        <w:t>1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، بلغ معدل الأسر التي صرحت بتدهور مستوى المعيشة</w:t>
      </w:r>
      <w:r w:rsidR="00DD54BA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خلال 12 شهرا السابقة</w:t>
      </w:r>
      <w:r w:rsidR="00DD54BA">
        <w:rPr>
          <w:rFonts w:ascii="Times New Roman" w:hAnsi="Times New Roman" w:cs="Simplified Arabic" w:hint="cs"/>
          <w:rtl/>
          <w:lang w:bidi="ar-MA"/>
        </w:rPr>
        <w:t xml:space="preserve"> </w:t>
      </w:r>
      <w:r w:rsidR="00110633" w:rsidRPr="00110633">
        <w:rPr>
          <w:rFonts w:ascii="Times New Roman" w:hAnsi="Times New Roman" w:cs="Times New Roman"/>
          <w:color w:val="000000" w:themeColor="text1"/>
          <w:rtl/>
        </w:rPr>
        <w:t>59,4%</w:t>
      </w:r>
      <w:r w:rsidR="00EF75DF">
        <w:rPr>
          <w:rFonts w:ascii="Times New Roman" w:hAnsi="Times New Roman" w:cs="Simplified Arabic" w:hint="cs"/>
          <w:rtl/>
          <w:lang w:bidi="ar-MA"/>
        </w:rPr>
        <w:t>،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فيما اعتبرت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110633" w:rsidRPr="00110633">
        <w:rPr>
          <w:rFonts w:ascii="Times New Roman" w:hAnsi="Times New Roman" w:cs="Simplified Arabic"/>
          <w:rtl/>
          <w:lang w:bidi="ar-MA"/>
        </w:rPr>
        <w:t>22,</w:t>
      </w:r>
      <w:r w:rsidR="008E6EF5">
        <w:rPr>
          <w:rFonts w:ascii="Times New Roman" w:hAnsi="Times New Roman" w:cs="Simplified Arabic" w:hint="cs"/>
          <w:rtl/>
          <w:lang w:bidi="ar-MA"/>
        </w:rPr>
        <w:t>7</w:t>
      </w:r>
      <w:r w:rsidR="00110633" w:rsidRPr="00110633">
        <w:rPr>
          <w:rFonts w:ascii="Times New Roman" w:hAnsi="Times New Roman" w:cs="Simplified Arabic"/>
          <w:rtl/>
          <w:lang w:bidi="ar-MA"/>
        </w:rPr>
        <w:t>%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منها استقراره و</w:t>
      </w:r>
      <w:r w:rsidR="00110633" w:rsidRPr="00110633">
        <w:rPr>
          <w:rFonts w:ascii="Times New Roman" w:hAnsi="Times New Roman" w:cs="Simplified Arabic"/>
          <w:rtl/>
          <w:lang w:bidi="ar-MA"/>
        </w:rPr>
        <w:t>17,9%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تحسنه. وهكذا، استقر رصيد هذا المؤشر في مستوى سلبي بلغ </w:t>
      </w:r>
      <w:r w:rsidR="00BE7508" w:rsidRPr="00E335F4">
        <w:rPr>
          <w:rFonts w:ascii="Times New Roman" w:hAnsi="Times New Roman" w:cs="Simplified Arabic" w:hint="cs"/>
          <w:rtl/>
          <w:lang w:bidi="ar-MA"/>
        </w:rPr>
        <w:t>ناقص</w:t>
      </w:r>
      <w:r w:rsidR="00BE7508">
        <w:rPr>
          <w:rFonts w:ascii="Times New Roman" w:hAnsi="Times New Roman" w:cs="Simplified Arabic" w:hint="cs"/>
          <w:rtl/>
          <w:lang w:bidi="ar-MA"/>
        </w:rPr>
        <w:t xml:space="preserve"> 41</w:t>
      </w:r>
      <w:r w:rsidR="00110633" w:rsidRPr="00110633">
        <w:rPr>
          <w:rFonts w:ascii="Times New Roman" w:hAnsi="Times New Roman" w:cs="Simplified Arabic"/>
          <w:rtl/>
          <w:lang w:bidi="ar-MA"/>
        </w:rPr>
        <w:t>,5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DB58F0" w:rsidRPr="00E335F4">
        <w:rPr>
          <w:rFonts w:ascii="Times New Roman" w:hAnsi="Times New Roman" w:cs="Simplified Arabic" w:hint="cs"/>
          <w:rtl/>
          <w:lang w:bidi="ar-MA"/>
        </w:rPr>
        <w:t xml:space="preserve">نقطة </w:t>
      </w:r>
      <w:r w:rsidR="00B62445">
        <w:rPr>
          <w:rFonts w:ascii="Times New Roman" w:hAnsi="Times New Roman" w:cs="Simplified Arabic" w:hint="cs"/>
          <w:rtl/>
          <w:lang w:bidi="ar-MA"/>
        </w:rPr>
        <w:t>عوض ناقص</w:t>
      </w:r>
      <w:r w:rsidR="00110633" w:rsidRPr="00110633">
        <w:rPr>
          <w:rFonts w:ascii="Times New Roman" w:hAnsi="Times New Roman" w:cs="Simplified Arabic"/>
          <w:rtl/>
          <w:lang w:bidi="ar-MA"/>
        </w:rPr>
        <w:t>50,8</w:t>
      </w:r>
      <w:r w:rsidR="00E115CD">
        <w:rPr>
          <w:rFonts w:ascii="Times New Roman" w:hAnsi="Times New Roman" w:cs="Simplified Arabic" w:hint="cs"/>
          <w:rtl/>
          <w:lang w:bidi="ar-MA"/>
        </w:rPr>
        <w:t xml:space="preserve"> </w:t>
      </w:r>
      <w:r w:rsidR="00B62445">
        <w:rPr>
          <w:rFonts w:ascii="Times New Roman" w:hAnsi="Times New Roman" w:cs="Simplified Arabic" w:hint="cs"/>
          <w:rtl/>
          <w:lang w:bidi="ar-MA"/>
        </w:rPr>
        <w:t>نقطة خلال الفصل السابق وناقص</w:t>
      </w:r>
      <w:r w:rsidR="00F033CF" w:rsidRPr="00F033CF">
        <w:rPr>
          <w:rFonts w:ascii="Times New Roman" w:hAnsi="Times New Roman" w:cs="Simplified Arabic"/>
          <w:rtl/>
          <w:lang w:bidi="ar-MA"/>
        </w:rPr>
        <w:t>35,6</w:t>
      </w:r>
      <w:r w:rsidR="002406C8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نقطة خلال نفس الفصل من السنة الماضية</w:t>
      </w:r>
      <w:r w:rsidR="008052A4" w:rsidRPr="00E335F4">
        <w:rPr>
          <w:rFonts w:ascii="Times New Roman" w:hAnsi="Times New Roman" w:cs="Simplified Arabic" w:hint="cs"/>
          <w:rtl/>
          <w:lang w:bidi="ar-MA"/>
        </w:rPr>
        <w:t>.</w:t>
      </w:r>
    </w:p>
    <w:p w:rsidR="00B559B9" w:rsidRDefault="0047396E" w:rsidP="00BE35BD">
      <w:pPr>
        <w:bidi/>
        <w:spacing w:before="240" w:line="360" w:lineRule="auto"/>
        <w:jc w:val="both"/>
        <w:rPr>
          <w:rFonts w:ascii="Times New Roman" w:hAnsi="Times New Roman" w:cs="Simplified Arabic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أما بخصوص تطور مستوى المعيشة خلال 12 شهرا المقبلة، فتتوقع </w:t>
      </w:r>
      <w:r w:rsidR="0029598B" w:rsidRPr="0029598B">
        <w:rPr>
          <w:rFonts w:ascii="Times New Roman" w:hAnsi="Times New Roman" w:cs="Simplified Arabic"/>
          <w:rtl/>
          <w:lang w:bidi="ar-MA"/>
        </w:rPr>
        <w:t>24,4%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من الأسر تدهوره و</w:t>
      </w:r>
      <w:r w:rsidR="0029598B" w:rsidRPr="0029598B">
        <w:rPr>
          <w:rFonts w:ascii="Times New Roman" w:hAnsi="Times New Roman" w:cs="Simplified Arabic"/>
          <w:rtl/>
          <w:lang w:bidi="ar-MA"/>
        </w:rPr>
        <w:t>41,8%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استقراره في حين </w:t>
      </w:r>
      <w:r w:rsidR="0029598B" w:rsidRPr="0029598B">
        <w:rPr>
          <w:rFonts w:ascii="Times New Roman" w:hAnsi="Times New Roman" w:cs="Simplified Arabic"/>
          <w:rtl/>
          <w:lang w:bidi="ar-MA"/>
        </w:rPr>
        <w:t>33,8%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ترجح تحسنه. وهكذا</w:t>
      </w:r>
      <w:r w:rsidR="00622D42" w:rsidRPr="00E335F4">
        <w:rPr>
          <w:rFonts w:ascii="Times New Roman" w:hAnsi="Times New Roman" w:cs="Simplified Arabic" w:hint="cs"/>
          <w:rtl/>
          <w:lang w:bidi="ar-MA"/>
        </w:rPr>
        <w:t>،</w:t>
      </w:r>
      <w:r w:rsidR="00BE7508">
        <w:rPr>
          <w:rFonts w:ascii="Times New Roman" w:hAnsi="Times New Roman" w:cs="Simplified Arabic" w:hint="cs"/>
          <w:rtl/>
          <w:lang w:bidi="ar-MA"/>
        </w:rPr>
        <w:t xml:space="preserve"> </w:t>
      </w:r>
      <w:r w:rsidR="00A9118A">
        <w:rPr>
          <w:rFonts w:ascii="Times New Roman" w:hAnsi="Times New Roman" w:cs="Simplified Arabic" w:hint="cs"/>
          <w:rtl/>
          <w:lang w:bidi="ar-MA"/>
        </w:rPr>
        <w:t>استقر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رصيد هذا المؤشر </w:t>
      </w:r>
      <w:r w:rsidR="00A84E54">
        <w:rPr>
          <w:rFonts w:ascii="Times New Roman" w:hAnsi="Times New Roman" w:cs="Simplified Arabic" w:hint="cs"/>
          <w:rtl/>
          <w:lang w:bidi="ar-MA"/>
        </w:rPr>
        <w:t>في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A1060C" w:rsidRPr="00A1060C">
        <w:rPr>
          <w:rFonts w:ascii="Times New Roman" w:hAnsi="Times New Roman" w:cs="Times New Roman"/>
          <w:color w:val="000000" w:themeColor="text1"/>
          <w:rtl/>
        </w:rPr>
        <w:t>9,</w:t>
      </w:r>
      <w:r w:rsidR="008E6EF5">
        <w:rPr>
          <w:rFonts w:ascii="Times New Roman" w:hAnsi="Times New Roman" w:cs="Times New Roman" w:hint="cs"/>
          <w:color w:val="000000" w:themeColor="text1"/>
          <w:rtl/>
        </w:rPr>
        <w:t>4</w:t>
      </w:r>
      <w:r w:rsidR="00BE7508">
        <w:rPr>
          <w:rFonts w:ascii="Times New Roman" w:hAnsi="Times New Roman" w:cs="Simplified Arabic" w:hint="cs"/>
          <w:rtl/>
          <w:lang w:bidi="ar-MA"/>
        </w:rPr>
        <w:t xml:space="preserve"> ن</w:t>
      </w:r>
      <w:r w:rsidR="002041DE" w:rsidRPr="00D72605">
        <w:rPr>
          <w:rFonts w:ascii="Times New Roman" w:hAnsi="Times New Roman" w:cs="Simplified Arabic" w:hint="cs"/>
          <w:rtl/>
          <w:lang w:bidi="ar-MA"/>
        </w:rPr>
        <w:t>قطة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A9118A">
        <w:rPr>
          <w:rFonts w:ascii="Times New Roman" w:hAnsi="Times New Roman" w:cs="Simplified Arabic" w:hint="cs"/>
          <w:rtl/>
          <w:lang w:bidi="ar-MA"/>
        </w:rPr>
        <w:t xml:space="preserve">مسجلا تحسنا </w:t>
      </w:r>
      <w:r w:rsidR="008E6EF5">
        <w:rPr>
          <w:rFonts w:ascii="Times New Roman" w:hAnsi="Times New Roman" w:cs="Simplified Arabic" w:hint="cs"/>
          <w:rtl/>
          <w:lang w:bidi="ar-MA"/>
        </w:rPr>
        <w:t>سواء بالمقارنة مع ا</w:t>
      </w:r>
      <w:r w:rsidR="00B559B9">
        <w:rPr>
          <w:rFonts w:ascii="Times New Roman" w:hAnsi="Times New Roman" w:cs="Simplified Arabic" w:hint="cs"/>
          <w:rtl/>
          <w:lang w:bidi="ar-MA"/>
        </w:rPr>
        <w:t xml:space="preserve">لفصل السابق </w:t>
      </w:r>
      <w:r w:rsidR="008E6EF5">
        <w:rPr>
          <w:rFonts w:ascii="Times New Roman" w:hAnsi="Times New Roman" w:cs="Simplified Arabic" w:hint="cs"/>
          <w:rtl/>
          <w:lang w:bidi="ar-MA"/>
        </w:rPr>
        <w:t>أ</w:t>
      </w:r>
      <w:r w:rsidRPr="00E335F4">
        <w:rPr>
          <w:rFonts w:ascii="Times New Roman" w:hAnsi="Times New Roman" w:cs="Simplified Arabic" w:hint="cs"/>
          <w:rtl/>
          <w:lang w:bidi="ar-MA"/>
        </w:rPr>
        <w:t>و</w:t>
      </w:r>
      <w:r w:rsid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BE7508">
        <w:rPr>
          <w:rFonts w:ascii="Times New Roman" w:hAnsi="Times New Roman" w:cs="Simplified Arabic" w:hint="cs"/>
          <w:rtl/>
          <w:lang w:bidi="ar-MA"/>
        </w:rPr>
        <w:t>مع نفس</w:t>
      </w:r>
      <w:r w:rsidR="00A9118A">
        <w:rPr>
          <w:rFonts w:ascii="Times New Roman" w:hAnsi="Times New Roman" w:cs="Simplified Arabic" w:hint="cs"/>
          <w:rtl/>
          <w:lang w:bidi="ar-MA"/>
        </w:rPr>
        <w:t xml:space="preserve"> الفصل من السنة الماضية حيث استقر في </w:t>
      </w:r>
      <w:r w:rsidR="00A1060C" w:rsidRPr="00A1060C">
        <w:rPr>
          <w:rFonts w:ascii="Times New Roman" w:hAnsi="Times New Roman" w:cs="Times New Roman"/>
          <w:color w:val="000000" w:themeColor="text1"/>
          <w:rtl/>
        </w:rPr>
        <w:t>0,2</w:t>
      </w:r>
      <w:r w:rsidR="008E6EF5">
        <w:rPr>
          <w:rFonts w:ascii="Times New Roman" w:hAnsi="Times New Roman" w:cs="Times New Roman" w:hint="cs"/>
          <w:color w:val="000000" w:themeColor="text1"/>
          <w:rtl/>
        </w:rPr>
        <w:t xml:space="preserve"> </w:t>
      </w:r>
      <w:r w:rsidR="008E6EF5" w:rsidRPr="00D72605">
        <w:rPr>
          <w:rFonts w:ascii="Times New Roman" w:hAnsi="Times New Roman" w:cs="Simplified Arabic" w:hint="cs"/>
          <w:rtl/>
          <w:lang w:bidi="ar-MA"/>
        </w:rPr>
        <w:t>نقطة</w:t>
      </w:r>
      <w:r w:rsidR="00A9118A">
        <w:rPr>
          <w:rFonts w:ascii="Times New Roman" w:hAnsi="Times New Roman" w:cs="Times New Roman" w:hint="cs"/>
          <w:color w:val="000000" w:themeColor="text1"/>
          <w:rtl/>
        </w:rPr>
        <w:t xml:space="preserve"> </w:t>
      </w:r>
      <w:r w:rsidR="00BE7508">
        <w:rPr>
          <w:rFonts w:ascii="Times New Roman" w:hAnsi="Times New Roman" w:cs="Times New Roman" w:hint="cs"/>
          <w:color w:val="000000" w:themeColor="text1"/>
          <w:rtl/>
        </w:rPr>
        <w:t>وناقص17</w:t>
      </w:r>
      <w:r w:rsidR="00A1060C" w:rsidRPr="00A1060C">
        <w:rPr>
          <w:rFonts w:ascii="Times New Roman" w:hAnsi="Times New Roman" w:cs="Times New Roman"/>
          <w:color w:val="000000" w:themeColor="text1"/>
          <w:rtl/>
        </w:rPr>
        <w:t>,4</w:t>
      </w:r>
      <w:r w:rsidR="008E6EF5" w:rsidRPr="008E6EF5">
        <w:rPr>
          <w:rFonts w:ascii="Times New Roman" w:hAnsi="Times New Roman" w:cs="Simplified Arabic" w:hint="cs"/>
          <w:rtl/>
          <w:lang w:bidi="ar-MA"/>
        </w:rPr>
        <w:t xml:space="preserve"> </w:t>
      </w:r>
      <w:r w:rsidR="008E6EF5" w:rsidRPr="00D72605">
        <w:rPr>
          <w:rFonts w:ascii="Times New Roman" w:hAnsi="Times New Roman" w:cs="Simplified Arabic" w:hint="cs"/>
          <w:rtl/>
          <w:lang w:bidi="ar-MA"/>
        </w:rPr>
        <w:t>نقطة</w:t>
      </w:r>
      <w:r w:rsidR="008E6EF5">
        <w:rPr>
          <w:rFonts w:ascii="Times New Roman" w:hAnsi="Times New Roman" w:cs="Times New Roman" w:hint="cs"/>
          <w:color w:val="000000" w:themeColor="text1"/>
          <w:rtl/>
        </w:rPr>
        <w:t xml:space="preserve"> </w:t>
      </w:r>
      <w:r w:rsidR="00A9118A">
        <w:rPr>
          <w:rFonts w:ascii="Times New Roman" w:hAnsi="Times New Roman" w:cs="Times New Roman" w:hint="cs"/>
          <w:color w:val="000000" w:themeColor="text1"/>
          <w:rtl/>
        </w:rPr>
        <w:t>على التوالي</w:t>
      </w:r>
      <w:r w:rsidR="00D01384" w:rsidRPr="00E335F4">
        <w:rPr>
          <w:rFonts w:ascii="Times New Roman" w:hAnsi="Times New Roman" w:cs="Simplified Arabic" w:hint="cs"/>
          <w:rtl/>
          <w:lang w:bidi="ar-MA"/>
        </w:rPr>
        <w:t>.</w:t>
      </w:r>
    </w:p>
    <w:p w:rsidR="00BE35BD" w:rsidRPr="000F62DE" w:rsidRDefault="00BE35BD" w:rsidP="00BE35BD">
      <w:pPr>
        <w:bidi/>
        <w:spacing w:before="240" w:line="360" w:lineRule="auto"/>
        <w:rPr>
          <w:rFonts w:ascii="Times New Roman" w:hAnsi="Times New Roman" w:cs="Simplified Arabic"/>
          <w:rtl/>
        </w:rPr>
      </w:pPr>
    </w:p>
    <w:p w:rsidR="00804AB7" w:rsidRPr="000F62DE" w:rsidRDefault="00152A62" w:rsidP="008E6EF5">
      <w:pPr>
        <w:widowControl/>
        <w:autoSpaceDE/>
        <w:autoSpaceDN/>
        <w:bidi/>
        <w:adjustRightInd/>
        <w:spacing w:after="200" w:line="360" w:lineRule="auto"/>
        <w:jc w:val="center"/>
        <w:rPr>
          <w:rFonts w:ascii="Times New Roman" w:hAnsi="Times New Roman" w:cs="Simplified Arabic"/>
          <w:rtl/>
        </w:rPr>
      </w:pPr>
      <w:r>
        <w:rPr>
          <w:noProof/>
        </w:rPr>
        <w:lastRenderedPageBreak/>
        <w:drawing>
          <wp:inline distT="0" distB="0" distL="0" distR="0">
            <wp:extent cx="5939790" cy="4067175"/>
            <wp:effectExtent l="0" t="0" r="3810" b="9525"/>
            <wp:docPr id="6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E7508" w:rsidRPr="00751E8B" w:rsidRDefault="00BE7508" w:rsidP="00BE7508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/>
        <w:ind w:left="566" w:hanging="283"/>
        <w:jc w:val="both"/>
        <w:rPr>
          <w:rFonts w:ascii="Times New Roman" w:hAnsi="Times New Roman" w:cs="Simplified Arabic"/>
          <w:sz w:val="28"/>
          <w:szCs w:val="28"/>
          <w:rtl/>
          <w:lang w:bidi="ar-MA"/>
        </w:rPr>
      </w:pPr>
      <w:r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تطور البطالة: آراء دائما متشائمة </w:t>
      </w:r>
    </w:p>
    <w:p w:rsidR="0047396E" w:rsidRPr="002B5D5E" w:rsidRDefault="00F04DA1" w:rsidP="002406C8">
      <w:pPr>
        <w:bidi/>
        <w:spacing w:line="360" w:lineRule="auto"/>
        <w:jc w:val="both"/>
        <w:rPr>
          <w:rFonts w:ascii="Times New Roman" w:hAnsi="Times New Roman" w:cs="Simplified Arabic"/>
          <w:sz w:val="28"/>
          <w:szCs w:val="28"/>
          <w:rtl/>
          <w:lang w:bidi="ar-MA"/>
        </w:rPr>
      </w:pPr>
      <w:r w:rsidRPr="00F04DA1">
        <w:rPr>
          <w:rFonts w:ascii="Times New Roman" w:hAnsi="Times New Roman" w:cs="Simplified Arabic" w:hint="cs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Pr="00F04DA1">
        <w:rPr>
          <w:rFonts w:ascii="Times New Roman" w:hAnsi="Times New Roman" w:cs="Simplified Arabic" w:hint="cs"/>
          <w:rtl/>
          <w:lang w:bidi="ar-MA"/>
        </w:rPr>
        <w:t xml:space="preserve"> من سنة 202</w:t>
      </w:r>
      <w:r w:rsidR="00B36679">
        <w:rPr>
          <w:rFonts w:ascii="Times New Roman" w:hAnsi="Times New Roman" w:cs="Simplified Arabic" w:hint="cs"/>
          <w:rtl/>
          <w:lang w:bidi="ar-MA"/>
        </w:rPr>
        <w:t>1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، توقعت</w:t>
      </w:r>
      <w:r w:rsidR="00992E26">
        <w:rPr>
          <w:rFonts w:ascii="Times New Roman" w:hAnsi="Times New Roman" w:cs="Simplified Arabic"/>
          <w:lang w:bidi="ar-MA"/>
        </w:rPr>
        <w:t xml:space="preserve"> </w:t>
      </w:r>
      <w:r w:rsidR="001B3F17" w:rsidRPr="001B3F17">
        <w:rPr>
          <w:rFonts w:ascii="Times New Roman" w:hAnsi="Times New Roman" w:cs="Simplified Arabic"/>
          <w:rtl/>
          <w:lang w:bidi="ar-MA"/>
        </w:rPr>
        <w:t>84,2%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من الأسر مقابل </w:t>
      </w:r>
      <w:r w:rsidR="001B3F17" w:rsidRPr="001B3F17">
        <w:rPr>
          <w:rFonts w:ascii="Times New Roman" w:hAnsi="Times New Roman" w:cs="Simplified Arabic"/>
          <w:rtl/>
          <w:lang w:bidi="ar-MA"/>
        </w:rPr>
        <w:t>5,9</w:t>
      </w:r>
      <w:r w:rsidR="00BE7508" w:rsidRPr="001B3F17">
        <w:rPr>
          <w:rFonts w:ascii="Times New Roman" w:hAnsi="Times New Roman" w:cs="Simplified Arabic" w:hint="cs"/>
          <w:rtl/>
          <w:lang w:bidi="ar-MA"/>
        </w:rPr>
        <w:t>%</w:t>
      </w:r>
      <w:r w:rsidR="00BE7508" w:rsidRPr="00E335F4">
        <w:rPr>
          <w:rFonts w:ascii="Times New Roman" w:hAnsi="Times New Roman" w:cs="Simplified Arabic" w:hint="cs"/>
          <w:rtl/>
          <w:lang w:bidi="ar-MA"/>
        </w:rPr>
        <w:t xml:space="preserve"> </w:t>
      </w:r>
      <w:r w:rsidR="00BE7508">
        <w:rPr>
          <w:rFonts w:ascii="Times New Roman" w:hAnsi="Times New Roman" w:cs="Simplified Arabic"/>
          <w:rtl/>
          <w:lang w:bidi="ar-MA"/>
        </w:rPr>
        <w:t>منها</w:t>
      </w:r>
      <w:r w:rsidR="00992E26">
        <w:rPr>
          <w:rFonts w:ascii="Times New Roman" w:hAnsi="Times New Roman" w:cs="Simplified Arabic" w:hint="cs"/>
          <w:rtl/>
          <w:lang w:bidi="ar-DZ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ارتفاعا في مستوى البطالة خلال 12 شهرا المقبلة. وهكذا استقر رصيد هذا المؤشر في مستوى سلبي بلغ ناقص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 </w:t>
      </w:r>
      <w:r w:rsidR="001B3F17" w:rsidRPr="001B3F17">
        <w:rPr>
          <w:rFonts w:ascii="Times New Roman" w:hAnsi="Times New Roman" w:cs="Simplified Arabic"/>
          <w:lang w:bidi="ar-MA"/>
        </w:rPr>
        <w:t>78,3</w:t>
      </w:r>
      <w:r w:rsidR="00BE7508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نقطة، مقابل ناقص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 </w:t>
      </w:r>
      <w:r w:rsidR="001B3F17" w:rsidRPr="001B3F17">
        <w:rPr>
          <w:rFonts w:ascii="Times New Roman" w:hAnsi="Times New Roman" w:cs="Simplified Arabic"/>
          <w:lang w:bidi="ar-MA"/>
        </w:rPr>
        <w:t>69,8</w:t>
      </w:r>
      <w:r w:rsidR="00BE7508">
        <w:rPr>
          <w:rFonts w:ascii="Times New Roman" w:hAnsi="Times New Roman" w:cs="Simplified Arabic" w:hint="cs"/>
          <w:rtl/>
          <w:lang w:bidi="ar-MA"/>
        </w:rPr>
        <w:t xml:space="preserve"> ن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قطة خلال الفصل السابق و ناقص</w:t>
      </w:r>
      <w:r w:rsidR="001B3F17" w:rsidRPr="001B3F17">
        <w:rPr>
          <w:rFonts w:ascii="Times New Roman" w:hAnsi="Times New Roman" w:cs="Simplified Arabic"/>
          <w:rtl/>
          <w:lang w:bidi="ar-MA"/>
        </w:rPr>
        <w:t>82,0</w:t>
      </w:r>
      <w:r w:rsidR="002406C8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نقطة خلال نفس الفصل من السنة الماضية</w:t>
      </w:r>
      <w:r w:rsidR="0047396E">
        <w:rPr>
          <w:rFonts w:ascii="Times New Roman" w:hAnsi="Times New Roman" w:cs="Simplified Arabic" w:hint="cs"/>
          <w:sz w:val="28"/>
          <w:szCs w:val="28"/>
          <w:rtl/>
          <w:lang w:bidi="ar-MA"/>
        </w:rPr>
        <w:t>.</w:t>
      </w:r>
    </w:p>
    <w:p w:rsidR="0047396E" w:rsidRDefault="0047396E" w:rsidP="008E6EF5">
      <w:pPr>
        <w:bidi/>
        <w:spacing w:line="360" w:lineRule="auto"/>
        <w:jc w:val="both"/>
        <w:rPr>
          <w:rFonts w:ascii="Times New Roman" w:hAnsi="Times New Roman" w:cs="Simplified Arabic"/>
          <w:lang w:bidi="ar-MA"/>
        </w:rPr>
      </w:pPr>
    </w:p>
    <w:p w:rsidR="0047396E" w:rsidRDefault="000A57AC" w:rsidP="008E6EF5">
      <w:pPr>
        <w:bidi/>
        <w:spacing w:line="360" w:lineRule="auto"/>
        <w:jc w:val="center"/>
        <w:rPr>
          <w:rFonts w:ascii="Times New Roman" w:hAnsi="Times New Roman" w:cs="Simplified Arabic"/>
          <w:lang w:bidi="ar-MA"/>
        </w:rPr>
      </w:pPr>
      <w:r>
        <w:rPr>
          <w:noProof/>
        </w:rPr>
        <w:drawing>
          <wp:inline distT="0" distB="0" distL="0" distR="0">
            <wp:extent cx="5943600" cy="2846717"/>
            <wp:effectExtent l="19050" t="0" r="19050" b="0"/>
            <wp:docPr id="7" name="Graphique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95089" w:rsidRDefault="00795089" w:rsidP="008E6EF5">
      <w:pPr>
        <w:bidi/>
        <w:spacing w:line="360" w:lineRule="auto"/>
        <w:jc w:val="both"/>
        <w:rPr>
          <w:rFonts w:ascii="Times New Roman" w:hAnsi="Times New Roman" w:cs="Simplified Arabic"/>
          <w:lang w:bidi="ar-MA"/>
        </w:rPr>
      </w:pPr>
    </w:p>
    <w:p w:rsidR="0047396E" w:rsidRPr="00795089" w:rsidRDefault="0047396E" w:rsidP="008E6EF5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line="360" w:lineRule="auto"/>
        <w:ind w:left="566" w:hanging="283"/>
        <w:jc w:val="both"/>
        <w:rPr>
          <w:rFonts w:ascii="Times New Roman" w:hAnsi="Times New Roman" w:cs="Simplified Arabic"/>
          <w:b/>
          <w:bCs/>
          <w:sz w:val="30"/>
          <w:szCs w:val="30"/>
          <w:lang w:bidi="ar-MA"/>
        </w:rPr>
      </w:pPr>
      <w:r w:rsidRPr="00795089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الظرفية غير ملائمة لاقتناء السلع</w:t>
      </w:r>
      <w:r w:rsidR="00992E26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 </w:t>
      </w:r>
      <w:r w:rsidRPr="00795089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المستديمة </w:t>
      </w:r>
    </w:p>
    <w:p w:rsidR="002B2F02" w:rsidRDefault="0047396E" w:rsidP="008E6EF5">
      <w:pPr>
        <w:bidi/>
        <w:spacing w:line="360" w:lineRule="auto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اعتبرت </w:t>
      </w:r>
      <w:r w:rsidR="00514041" w:rsidRPr="00514041">
        <w:rPr>
          <w:rFonts w:ascii="Times New Roman" w:hAnsi="Times New Roman" w:cs="Simplified Arabic"/>
          <w:rtl/>
          <w:lang w:bidi="ar-MA"/>
        </w:rPr>
        <w:t>72,1%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من الأسر، </w:t>
      </w:r>
      <w:r w:rsidR="00341A12" w:rsidRPr="00341A12">
        <w:rPr>
          <w:rFonts w:ascii="Times New Roman" w:hAnsi="Times New Roman" w:cs="Simplified Arabic" w:hint="cs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="00341A12" w:rsidRPr="00341A12">
        <w:rPr>
          <w:rFonts w:ascii="Times New Roman" w:hAnsi="Times New Roman" w:cs="Simplified Arabic" w:hint="cs"/>
          <w:rtl/>
          <w:lang w:bidi="ar-MA"/>
        </w:rPr>
        <w:t xml:space="preserve"> من سنة </w:t>
      </w:r>
      <w:r w:rsidR="0013669B">
        <w:rPr>
          <w:rFonts w:ascii="Times New Roman" w:hAnsi="Times New Roman" w:cs="Simplified Arabic" w:hint="cs"/>
          <w:rtl/>
          <w:lang w:bidi="ar-MA"/>
        </w:rPr>
        <w:t>2021</w:t>
      </w:r>
      <w:r w:rsidRPr="00E335F4">
        <w:rPr>
          <w:rFonts w:ascii="Times New Roman" w:hAnsi="Times New Roman" w:cs="Simplified Arabic" w:hint="cs"/>
          <w:rtl/>
          <w:lang w:bidi="ar-MA"/>
        </w:rPr>
        <w:t>، أن الظروف غير ملائمة للقيام بشراء سلع مستديمة</w:t>
      </w:r>
      <w:r w:rsidR="002041DE">
        <w:rPr>
          <w:rFonts w:ascii="Times New Roman" w:hAnsi="Times New Roman" w:cs="Simplified Arabic" w:hint="cs"/>
          <w:rtl/>
          <w:lang w:bidi="ar-MA"/>
        </w:rPr>
        <w:t>،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في حين رأت </w:t>
      </w:r>
      <w:r w:rsidR="00514041" w:rsidRPr="00514041">
        <w:rPr>
          <w:rFonts w:ascii="Times New Roman" w:hAnsi="Times New Roman" w:cs="Simplified Arabic"/>
          <w:rtl/>
          <w:lang w:bidi="ar-MA"/>
        </w:rPr>
        <w:t>10,1%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عكس ذلك. وهكذا استقر رصيد هذا المؤشر في مستواه السلبي مسجلا ناقص </w:t>
      </w:r>
      <w:r w:rsidR="00AD6984" w:rsidRPr="00AD6984">
        <w:rPr>
          <w:rFonts w:ascii="Times New Roman" w:hAnsi="Times New Roman" w:cs="Times New Roman"/>
          <w:color w:val="000000" w:themeColor="text1"/>
        </w:rPr>
        <w:t>62,0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مقابل ناقص </w:t>
      </w:r>
      <w:r w:rsidR="001E4979" w:rsidRPr="001E4979">
        <w:rPr>
          <w:rFonts w:ascii="Times New Roman" w:hAnsi="Times New Roman" w:cs="Times New Roman"/>
          <w:color w:val="000000" w:themeColor="text1"/>
        </w:rPr>
        <w:t>65,6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خلال الفصل السابق وناقص </w:t>
      </w:r>
      <w:r w:rsidR="001E4979" w:rsidRPr="001E4979">
        <w:rPr>
          <w:rFonts w:ascii="Times New Roman" w:hAnsi="Times New Roman" w:cs="Simplified Arabic"/>
          <w:lang w:bidi="ar-MA"/>
        </w:rPr>
        <w:t>63,5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نقطة </w:t>
      </w:r>
      <w:r w:rsidR="00BE35BD" w:rsidRPr="00E335F4">
        <w:rPr>
          <w:rFonts w:ascii="Times New Roman" w:hAnsi="Times New Roman" w:cs="Simplified Arabic" w:hint="cs"/>
          <w:rtl/>
          <w:lang w:bidi="ar-MA"/>
        </w:rPr>
        <w:t>خلال الفصل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من</w:t>
      </w:r>
      <w:r w:rsidR="00362483">
        <w:rPr>
          <w:rFonts w:ascii="Times New Roman" w:hAnsi="Times New Roman" w:cs="Simplified Arabic" w:hint="cs"/>
          <w:rtl/>
          <w:lang w:bidi="ar-MA"/>
        </w:rPr>
        <w:t xml:space="preserve"> سنة</w:t>
      </w:r>
      <w:r w:rsidR="00BE35BD">
        <w:rPr>
          <w:rFonts w:ascii="Times New Roman" w:hAnsi="Times New Roman" w:cs="Simplified Arabic" w:hint="cs"/>
          <w:rtl/>
          <w:lang w:bidi="ar-MA"/>
        </w:rPr>
        <w:t>2020 .</w:t>
      </w:r>
    </w:p>
    <w:p w:rsidR="00BC28E2" w:rsidRPr="00E335F4" w:rsidRDefault="00BC28E2" w:rsidP="008E6EF5">
      <w:pPr>
        <w:bidi/>
        <w:spacing w:line="360" w:lineRule="auto"/>
        <w:jc w:val="both"/>
        <w:rPr>
          <w:rFonts w:ascii="Times New Roman" w:hAnsi="Times New Roman" w:cs="Simplified Arabic"/>
          <w:rtl/>
          <w:lang w:bidi="ar-MA"/>
        </w:rPr>
      </w:pPr>
    </w:p>
    <w:p w:rsidR="00B41C33" w:rsidRDefault="001B76A5" w:rsidP="008E6EF5">
      <w:pPr>
        <w:widowControl/>
        <w:autoSpaceDE/>
        <w:autoSpaceDN/>
        <w:bidi/>
        <w:adjustRightInd/>
        <w:spacing w:line="360" w:lineRule="auto"/>
        <w:jc w:val="center"/>
        <w:rPr>
          <w:rFonts w:ascii="Times New Roman" w:hAnsi="Times New Roman" w:cs="Simplified Arabic"/>
          <w:b/>
          <w:bCs/>
          <w:rtl/>
          <w:lang w:bidi="ar-MA"/>
        </w:rPr>
      </w:pPr>
      <w:r>
        <w:rPr>
          <w:noProof/>
        </w:rPr>
        <w:drawing>
          <wp:inline distT="0" distB="0" distL="0" distR="0">
            <wp:extent cx="5943600" cy="2389517"/>
            <wp:effectExtent l="19050" t="0" r="19050" b="0"/>
            <wp:docPr id="8" name="Graphique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E7508" w:rsidRDefault="00BE7508" w:rsidP="008E6EF5">
      <w:pPr>
        <w:bidi/>
        <w:spacing w:before="240" w:line="360" w:lineRule="auto"/>
        <w:jc w:val="both"/>
        <w:rPr>
          <w:rFonts w:ascii="Times New Roman" w:hAnsi="Times New Roman" w:cs="Simplified Arabic"/>
          <w:b/>
          <w:bCs/>
          <w:sz w:val="30"/>
          <w:szCs w:val="30"/>
          <w:rtl/>
          <w:lang w:bidi="ar-MA"/>
        </w:rPr>
      </w:pPr>
      <w:r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توقع الأسر بتحسن وضعيتهم المالية </w:t>
      </w:r>
    </w:p>
    <w:p w:rsidR="000B04E0" w:rsidRDefault="0047396E" w:rsidP="00531613">
      <w:pPr>
        <w:bidi/>
        <w:spacing w:before="240" w:line="360" w:lineRule="auto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صرحت </w:t>
      </w:r>
      <w:r w:rsidR="00A44D44" w:rsidRPr="00A44D44">
        <w:rPr>
          <w:rFonts w:ascii="Times New Roman" w:hAnsi="Times New Roman" w:cs="Simplified Arabic"/>
          <w:rtl/>
          <w:lang w:bidi="ar-MA"/>
        </w:rPr>
        <w:t xml:space="preserve">55,1%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من الأسر، </w:t>
      </w:r>
      <w:r w:rsidR="00BA32A3" w:rsidRPr="00BA32A3">
        <w:rPr>
          <w:rFonts w:ascii="Times New Roman" w:hAnsi="Times New Roman" w:cs="Simplified Arabic" w:hint="cs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="00BA32A3" w:rsidRPr="00BA32A3">
        <w:rPr>
          <w:rFonts w:ascii="Times New Roman" w:hAnsi="Times New Roman" w:cs="Simplified Arabic" w:hint="cs"/>
          <w:rtl/>
          <w:lang w:bidi="ar-MA"/>
        </w:rPr>
        <w:t xml:space="preserve"> من سنة 202</w:t>
      </w:r>
      <w:r w:rsidR="00066304">
        <w:rPr>
          <w:rFonts w:ascii="Times New Roman" w:hAnsi="Times New Roman" w:cs="Simplified Arabic" w:hint="cs"/>
          <w:rtl/>
          <w:lang w:bidi="ar-MA"/>
        </w:rPr>
        <w:t>1</w:t>
      </w:r>
      <w:r w:rsidRPr="00E335F4">
        <w:rPr>
          <w:rFonts w:ascii="Times New Roman" w:hAnsi="Times New Roman" w:cs="Simplified Arabic" w:hint="cs"/>
          <w:rtl/>
          <w:lang w:bidi="ar-MA"/>
        </w:rPr>
        <w:t>، أن مداخيلها تغطي مصاريفها، فيما استنزفت</w:t>
      </w:r>
      <w:r w:rsidR="00B06D7C" w:rsidRPr="00B06D7C">
        <w:rPr>
          <w:rFonts w:ascii="Times New Roman" w:hAnsi="Times New Roman" w:cs="Simplified Arabic"/>
          <w:rtl/>
          <w:lang w:bidi="ar-MA"/>
        </w:rPr>
        <w:t>40,7%</w:t>
      </w:r>
      <w:r w:rsidRPr="00E335F4">
        <w:rPr>
          <w:rFonts w:ascii="Times New Roman" w:hAnsi="Times New Roman" w:cs="Simplified Arabic" w:hint="cs"/>
          <w:rtl/>
          <w:lang w:bidi="ar-MA"/>
        </w:rPr>
        <w:t>من مدخراتها أو لجأت إلى الاقتراض.  ولا يتجاوز معدل الأسر التي تمكنت من ادخار جزء من مداخيلها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</w:t>
      </w:r>
      <w:r w:rsidR="00B06D7C" w:rsidRPr="00B06D7C">
        <w:rPr>
          <w:rFonts w:ascii="Times New Roman" w:hAnsi="Times New Roman" w:cs="Simplified Arabic"/>
          <w:rtl/>
          <w:lang w:bidi="ar-MA"/>
        </w:rPr>
        <w:t>4,2%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.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وهكذا استقر رصيد آراء الأسر حول وضعيتهم المالية الحالية في مستوى سلبي بلغ ناقص </w:t>
      </w:r>
      <w:r w:rsidR="00B06D7C" w:rsidRPr="00B06D7C">
        <w:rPr>
          <w:rFonts w:ascii="Times New Roman" w:hAnsi="Times New Roman" w:cs="Simplified Arabic"/>
          <w:lang w:bidi="ar-MA"/>
        </w:rPr>
        <w:t>36,4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</w:t>
      </w:r>
      <w:r w:rsidR="00992E26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>مقابل ناقص</w:t>
      </w:r>
      <w:r w:rsidR="00635C99" w:rsidRPr="00635C99">
        <w:rPr>
          <w:rFonts w:ascii="Times New Roman" w:hAnsi="Times New Roman" w:cs="Simplified Arabic"/>
          <w:lang w:bidi="ar-MA"/>
        </w:rPr>
        <w:t>38,0</w:t>
      </w:r>
      <w:r w:rsidR="00531613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>نقطة خلال الفصل السابق وناقص</w:t>
      </w:r>
      <w:r w:rsidR="00635C99" w:rsidRPr="00635C99">
        <w:rPr>
          <w:rFonts w:ascii="Times New Roman" w:hAnsi="Times New Roman" w:cs="Simplified Arabic"/>
          <w:lang w:bidi="ar-MA"/>
        </w:rPr>
        <w:t>31,5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خلال نفس الفصل من السنة الماضية.</w:t>
      </w:r>
    </w:p>
    <w:p w:rsidR="0047396E" w:rsidRPr="00E335F4" w:rsidRDefault="0047396E" w:rsidP="008E6EF5">
      <w:pPr>
        <w:bidi/>
        <w:spacing w:before="240" w:line="360" w:lineRule="auto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/>
          <w:rtl/>
          <w:lang w:bidi="ar-MA"/>
        </w:rPr>
        <w:t>و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بخصوص تطور الوضعية المالية للأسر خلال 12 شهرا الماضية، صرحت </w:t>
      </w:r>
      <w:r w:rsidR="00E93B10" w:rsidRPr="00E93B10">
        <w:rPr>
          <w:rFonts w:ascii="Times New Roman" w:hAnsi="Times New Roman" w:cs="Simplified Arabic"/>
          <w:rtl/>
          <w:lang w:bidi="ar-MA"/>
        </w:rPr>
        <w:t>53,6%</w:t>
      </w:r>
      <w:r w:rsidRPr="00E335F4">
        <w:rPr>
          <w:rFonts w:ascii="Times New Roman" w:hAnsi="Times New Roman" w:cs="Simplified Arabic" w:hint="cs"/>
          <w:rtl/>
          <w:lang w:bidi="ar-MA"/>
        </w:rPr>
        <w:t>من الأسر</w:t>
      </w:r>
      <w:r w:rsidR="00E74730">
        <w:rPr>
          <w:rFonts w:ascii="Times New Roman" w:hAnsi="Times New Roman" w:cs="Simplified Arabic" w:hint="cs"/>
          <w:rtl/>
          <w:lang w:bidi="ar-MA"/>
        </w:rPr>
        <w:t xml:space="preserve"> مقابل</w:t>
      </w:r>
      <w:r w:rsidR="00E93B10" w:rsidRPr="00E93B10">
        <w:rPr>
          <w:rFonts w:ascii="Times New Roman" w:hAnsi="Times New Roman" w:cs="Simplified Arabic"/>
          <w:rtl/>
          <w:lang w:bidi="ar-MA"/>
        </w:rPr>
        <w:t>5,7%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بتدهورها. وبذلك بقي </w:t>
      </w:r>
      <w:r w:rsidRPr="00E335F4">
        <w:rPr>
          <w:rFonts w:ascii="Times New Roman" w:hAnsi="Times New Roman" w:cs="Simplified Arabic"/>
          <w:rtl/>
          <w:lang w:bidi="ar-MA"/>
        </w:rPr>
        <w:t>هذا التصور</w:t>
      </w:r>
      <w:r w:rsidR="002406C8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/>
          <w:rtl/>
          <w:lang w:bidi="ar-MA"/>
        </w:rPr>
        <w:t>سلبي</w:t>
      </w:r>
      <w:r w:rsidRPr="00E335F4">
        <w:rPr>
          <w:rFonts w:ascii="Times New Roman" w:hAnsi="Times New Roman" w:cs="Simplified Arabic" w:hint="cs"/>
          <w:rtl/>
          <w:lang w:bidi="ar-MA"/>
        </w:rPr>
        <w:t>ا حيث بلغ ناقص</w:t>
      </w:r>
      <w:r w:rsidR="00E93B10" w:rsidRPr="00E93B10">
        <w:rPr>
          <w:rFonts w:ascii="Times New Roman" w:hAnsi="Times New Roman" w:cs="Simplified Arabic"/>
          <w:rtl/>
          <w:lang w:bidi="ar-MA"/>
        </w:rPr>
        <w:t>48,0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نقطة </w:t>
      </w:r>
      <w:r w:rsidR="005C100E">
        <w:rPr>
          <w:rFonts w:ascii="Times New Roman" w:hAnsi="Times New Roman" w:cs="Simplified Arabic" w:hint="cs"/>
          <w:rtl/>
          <w:lang w:bidi="ar-MA"/>
        </w:rPr>
        <w:t>مقابل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ناقص</w:t>
      </w:r>
      <w:r w:rsidR="00FD0436" w:rsidRPr="00FD0436">
        <w:rPr>
          <w:rFonts w:ascii="Times New Roman" w:hAnsi="Times New Roman" w:cs="Simplified Arabic"/>
          <w:rtl/>
          <w:lang w:bidi="ar-MA"/>
        </w:rPr>
        <w:t>50,0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نقطة </w:t>
      </w:r>
      <w:r w:rsidR="005C100E" w:rsidRPr="005C100E">
        <w:rPr>
          <w:rFonts w:ascii="Times New Roman" w:hAnsi="Times New Roman" w:cs="Simplified Arabic"/>
          <w:rtl/>
          <w:lang w:bidi="ar-MA"/>
        </w:rPr>
        <w:t xml:space="preserve">خلال الفصل السابق </w:t>
      </w:r>
      <w:r w:rsidRPr="00E335F4">
        <w:rPr>
          <w:rFonts w:ascii="Times New Roman" w:hAnsi="Times New Roman" w:cs="Simplified Arabic" w:hint="cs"/>
          <w:rtl/>
          <w:lang w:bidi="ar-MA"/>
        </w:rPr>
        <w:t>ناقص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FD0436" w:rsidRPr="00FD0436">
        <w:rPr>
          <w:rFonts w:ascii="Times New Roman" w:hAnsi="Times New Roman" w:cs="Simplified Arabic"/>
          <w:rtl/>
          <w:lang w:bidi="ar-MA"/>
        </w:rPr>
        <w:t>34,0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3549B7" w:rsidRPr="00E335F4">
        <w:rPr>
          <w:rFonts w:ascii="Times New Roman" w:hAnsi="Times New Roman" w:cs="Simplified Arabic" w:hint="cs"/>
          <w:rtl/>
          <w:lang w:bidi="ar-MA"/>
        </w:rPr>
        <w:t xml:space="preserve">نقطة </w:t>
      </w:r>
      <w:r w:rsidR="005C100E" w:rsidRPr="005C100E">
        <w:rPr>
          <w:rFonts w:ascii="Times New Roman" w:hAnsi="Times New Roman" w:cs="Simplified Arabic"/>
          <w:rtl/>
          <w:lang w:bidi="ar-MA"/>
        </w:rPr>
        <w:t>خلال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5C100E" w:rsidRPr="005C100E">
        <w:rPr>
          <w:rFonts w:ascii="Times New Roman" w:hAnsi="Times New Roman" w:cs="Simplified Arabic"/>
          <w:rtl/>
          <w:lang w:bidi="ar-MA"/>
        </w:rPr>
        <w:t>نفس الفصل من السنة الماضية</w:t>
      </w:r>
      <w:r w:rsidRPr="00E335F4">
        <w:rPr>
          <w:rFonts w:ascii="Times New Roman" w:hAnsi="Times New Roman" w:cs="Simplified Arabic" w:hint="cs"/>
          <w:rtl/>
          <w:lang w:bidi="ar-MA"/>
        </w:rPr>
        <w:t>.</w:t>
      </w:r>
    </w:p>
    <w:p w:rsidR="0047396E" w:rsidRPr="00E335F4" w:rsidRDefault="0047396E" w:rsidP="00DF086B">
      <w:pPr>
        <w:bidi/>
        <w:spacing w:before="240" w:line="360" w:lineRule="auto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أما بخصوص تصور الأسر لتطور وضعيتها المالية خلال 12 شهرا المقبلة، فتتوقع </w:t>
      </w:r>
      <w:r w:rsidR="00062005" w:rsidRPr="00062005">
        <w:rPr>
          <w:rFonts w:ascii="Times New Roman" w:hAnsi="Times New Roman" w:cs="Simplified Arabic"/>
          <w:rtl/>
          <w:lang w:bidi="ar-MA"/>
        </w:rPr>
        <w:t>29,9%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منها تحسنها مقابل </w:t>
      </w:r>
      <w:r w:rsidR="00062005" w:rsidRPr="00062005">
        <w:rPr>
          <w:rFonts w:ascii="Times New Roman" w:hAnsi="Times New Roman" w:cs="Simplified Arabic"/>
          <w:rtl/>
          <w:lang w:bidi="ar-MA"/>
        </w:rPr>
        <w:t xml:space="preserve">14,8%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التي تنتظر تدهورها. </w:t>
      </w:r>
      <w:r w:rsidR="00CD03A7">
        <w:rPr>
          <w:rFonts w:ascii="Times New Roman" w:hAnsi="Times New Roman" w:cs="Simplified Arabic" w:hint="cs"/>
          <w:rtl/>
          <w:lang w:bidi="ar-MA"/>
        </w:rPr>
        <w:t>وهكذا، سجل رصيد هذا المؤشر تحسنا</w:t>
      </w:r>
      <w:r w:rsidR="00A84E54">
        <w:rPr>
          <w:rFonts w:ascii="Times New Roman" w:hAnsi="Times New Roman" w:cs="Simplified Arabic" w:hint="cs"/>
          <w:rtl/>
          <w:lang w:bidi="ar-MA"/>
        </w:rPr>
        <w:t xml:space="preserve"> مس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جلا بذلك </w:t>
      </w:r>
      <w:r w:rsidR="00062005" w:rsidRPr="00062005">
        <w:rPr>
          <w:rFonts w:ascii="Times New Roman" w:hAnsi="Times New Roman" w:cs="Simplified Arabic"/>
          <w:rtl/>
          <w:lang w:bidi="ar-MA"/>
        </w:rPr>
        <w:t>15,1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نقطة مقابل </w:t>
      </w:r>
      <w:r w:rsidR="00062005" w:rsidRPr="00062005">
        <w:rPr>
          <w:rFonts w:ascii="Times New Roman" w:hAnsi="Times New Roman" w:cs="Simplified Arabic"/>
          <w:rtl/>
          <w:lang w:bidi="ar-MA"/>
        </w:rPr>
        <w:t>14,8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خلال الفصل السابق </w:t>
      </w:r>
      <w:r w:rsidRPr="00E335F4">
        <w:rPr>
          <w:rFonts w:ascii="Times New Roman" w:hAnsi="Times New Roman" w:cs="Simplified Arabic" w:hint="cs"/>
          <w:rtl/>
          <w:lang w:bidi="ar-MA"/>
        </w:rPr>
        <w:lastRenderedPageBreak/>
        <w:t>و</w:t>
      </w:r>
      <w:r w:rsidR="00062005" w:rsidRPr="00062005">
        <w:rPr>
          <w:rFonts w:ascii="Times New Roman" w:hAnsi="Times New Roman" w:cs="Simplified Arabic"/>
          <w:rtl/>
          <w:lang w:bidi="ar-MA"/>
        </w:rPr>
        <w:t>11,9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خلال نفس الفصل من السنة الماضية. </w:t>
      </w:r>
    </w:p>
    <w:p w:rsidR="0047396E" w:rsidRPr="000F62DE" w:rsidRDefault="00006A0D" w:rsidP="008E6EF5">
      <w:pPr>
        <w:bidi/>
        <w:spacing w:before="240" w:line="360" w:lineRule="auto"/>
        <w:ind w:left="-1"/>
        <w:jc w:val="center"/>
        <w:rPr>
          <w:rFonts w:ascii="Times New Roman" w:hAnsi="Times New Roman" w:cs="Simplified Arabic"/>
          <w:lang w:bidi="ar-MA"/>
        </w:rPr>
      </w:pPr>
      <w:r>
        <w:rPr>
          <w:noProof/>
        </w:rPr>
        <w:drawing>
          <wp:inline distT="0" distB="0" distL="0" distR="0">
            <wp:extent cx="5948274" cy="3994099"/>
            <wp:effectExtent l="19050" t="0" r="14376" b="6401"/>
            <wp:docPr id="2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C28E2" w:rsidRPr="000F62DE" w:rsidRDefault="00BC28E2" w:rsidP="008E6EF5">
      <w:pPr>
        <w:bidi/>
        <w:spacing w:before="240" w:line="360" w:lineRule="auto"/>
        <w:ind w:left="-1"/>
        <w:jc w:val="both"/>
        <w:rPr>
          <w:rFonts w:ascii="Times New Roman" w:hAnsi="Times New Roman" w:cs="Simplified Arabic"/>
          <w:rtl/>
          <w:lang w:bidi="ar-MA"/>
        </w:rPr>
      </w:pPr>
    </w:p>
    <w:p w:rsidR="0047396E" w:rsidRPr="00D22424" w:rsidRDefault="0047396E" w:rsidP="008E6EF5">
      <w:pPr>
        <w:pStyle w:val="Paragraphedeliste"/>
        <w:widowControl/>
        <w:numPr>
          <w:ilvl w:val="0"/>
          <w:numId w:val="2"/>
        </w:numPr>
        <w:autoSpaceDE/>
        <w:autoSpaceDN/>
        <w:bidi/>
        <w:adjustRightInd/>
        <w:spacing w:line="360" w:lineRule="auto"/>
        <w:jc w:val="both"/>
        <w:rPr>
          <w:rFonts w:ascii="Times New Roman" w:hAnsi="Times New Roman" w:cs="Simplified Arabic"/>
          <w:b/>
          <w:bCs/>
          <w:sz w:val="30"/>
          <w:szCs w:val="30"/>
          <w:rtl/>
          <w:lang w:bidi="ar-MA"/>
        </w:rPr>
      </w:pP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تطور مؤشرات فصلية أخرى لآراء الأسر حول الظرفية</w:t>
      </w:r>
    </w:p>
    <w:p w:rsidR="0047396E" w:rsidRPr="00E335F4" w:rsidRDefault="0047396E" w:rsidP="008E6EF5">
      <w:pPr>
        <w:widowControl/>
        <w:autoSpaceDE/>
        <w:autoSpaceDN/>
        <w:bidi/>
        <w:adjustRightInd/>
        <w:spacing w:after="200" w:line="360" w:lineRule="auto"/>
        <w:ind w:left="142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إضافة إلى المؤشرات السابقة، يوفر هذا البحث معطيات فصلية عن تصورات الأسر بخصوص جوانب أخرى لظروف معيشتها، منها القدرة على </w:t>
      </w:r>
      <w:r w:rsidR="001F7C00" w:rsidRPr="00E335F4">
        <w:rPr>
          <w:rFonts w:ascii="Times New Roman" w:hAnsi="Times New Roman" w:cs="Simplified Arabic" w:hint="cs"/>
          <w:rtl/>
          <w:lang w:bidi="ar-MA"/>
        </w:rPr>
        <w:t>الادخار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و تطور أثمنة المواد الغذائية.</w:t>
      </w:r>
    </w:p>
    <w:p w:rsidR="0047396E" w:rsidRPr="00D22424" w:rsidRDefault="0047396E" w:rsidP="00AA3890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jc w:val="both"/>
        <w:rPr>
          <w:rFonts w:ascii="Times New Roman" w:hAnsi="Times New Roman" w:cs="Simplified Arabic"/>
          <w:b/>
          <w:bCs/>
          <w:sz w:val="30"/>
          <w:szCs w:val="30"/>
          <w:lang w:bidi="ar-MA"/>
        </w:rPr>
      </w:pP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ت</w:t>
      </w:r>
      <w:r w:rsidR="00AA3890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ص</w:t>
      </w: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و</w:t>
      </w:r>
      <w:r w:rsidR="00AA3890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ر</w:t>
      </w: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ات </w:t>
      </w:r>
      <w:r w:rsidR="00AA3890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متشائمة </w:t>
      </w: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بخصوص قدرة الأسر على الادخار </w:t>
      </w:r>
    </w:p>
    <w:p w:rsidR="001C3663" w:rsidRDefault="00A11C67" w:rsidP="00DF086B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  <w:r w:rsidRPr="00A11C67">
        <w:rPr>
          <w:rFonts w:ascii="Times New Roman" w:hAnsi="Times New Roman" w:cs="Simplified Arabic" w:hint="cs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Pr="00A11C67">
        <w:rPr>
          <w:rFonts w:ascii="Times New Roman" w:hAnsi="Times New Roman" w:cs="Simplified Arabic" w:hint="cs"/>
          <w:rtl/>
          <w:lang w:bidi="ar-MA"/>
        </w:rPr>
        <w:t xml:space="preserve"> من سنة 202</w:t>
      </w:r>
      <w:r w:rsidR="001F7C00">
        <w:rPr>
          <w:rFonts w:ascii="Times New Roman" w:hAnsi="Times New Roman" w:cs="Simplified Arabic" w:hint="cs"/>
          <w:rtl/>
          <w:lang w:bidi="ar-MA"/>
        </w:rPr>
        <w:t>1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، صرحت </w:t>
      </w:r>
      <w:r w:rsidR="001A0FD9" w:rsidRPr="001A0FD9">
        <w:rPr>
          <w:rFonts w:ascii="Times New Roman" w:hAnsi="Times New Roman" w:cs="Simplified Arabic"/>
          <w:rtl/>
          <w:lang w:bidi="ar-MA"/>
        </w:rPr>
        <w:t>14,8%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مقابل </w:t>
      </w:r>
      <w:r w:rsidR="001A0FD9" w:rsidRPr="001A0FD9">
        <w:rPr>
          <w:rFonts w:ascii="Times New Roman" w:hAnsi="Times New Roman" w:cs="Simplified Arabic"/>
          <w:rtl/>
          <w:lang w:bidi="ar-MA"/>
        </w:rPr>
        <w:t>85,2%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من الأسر بقدرتها على </w:t>
      </w:r>
      <w:r w:rsidR="004C7F37" w:rsidRPr="00E335F4">
        <w:rPr>
          <w:rFonts w:ascii="Times New Roman" w:hAnsi="Times New Roman" w:cs="Simplified Arabic" w:hint="cs"/>
          <w:rtl/>
          <w:lang w:bidi="ar-MA"/>
        </w:rPr>
        <w:t>الادخار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خلال 12 شهرا المقبلة، </w:t>
      </w:r>
      <w:r w:rsidR="00611F15" w:rsidRPr="00611F15">
        <w:rPr>
          <w:rFonts w:ascii="Times New Roman" w:hAnsi="Times New Roman" w:cs="Simplified Arabic" w:hint="cs"/>
          <w:rtl/>
          <w:lang w:bidi="ar-MA"/>
        </w:rPr>
        <w:t xml:space="preserve">وهكذا استقر رصيد هذا المؤشر في مستواه السلبي مسجلا ناقص </w:t>
      </w:r>
      <w:r w:rsidR="001A0FD9" w:rsidRPr="001A0FD9">
        <w:rPr>
          <w:rFonts w:ascii="Times New Roman" w:hAnsi="Times New Roman" w:cs="Simplified Arabic"/>
          <w:rtl/>
          <w:lang w:bidi="ar-MA"/>
        </w:rPr>
        <w:t>70,4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611F15" w:rsidRPr="00611F15">
        <w:rPr>
          <w:rFonts w:ascii="Times New Roman" w:hAnsi="Times New Roman" w:cs="Simplified Arabic" w:hint="cs"/>
          <w:rtl/>
          <w:lang w:bidi="ar-MA"/>
        </w:rPr>
        <w:t xml:space="preserve">نقطة مقابل ناقص </w:t>
      </w:r>
      <w:r w:rsidR="001A0FD9" w:rsidRPr="001A0FD9">
        <w:rPr>
          <w:rFonts w:ascii="Times New Roman" w:hAnsi="Times New Roman" w:cs="Simplified Arabic"/>
          <w:rtl/>
          <w:lang w:bidi="ar-MA"/>
        </w:rPr>
        <w:t>67,2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611F15" w:rsidRPr="00611F15">
        <w:rPr>
          <w:rFonts w:ascii="Times New Roman" w:hAnsi="Times New Roman" w:cs="Simplified Arabic" w:hint="cs"/>
          <w:rtl/>
          <w:lang w:bidi="ar-MA"/>
        </w:rPr>
        <w:t>نقطة خلال الفصل السابق</w:t>
      </w:r>
      <w:r w:rsidR="00E47193">
        <w:rPr>
          <w:rFonts w:ascii="Times New Roman" w:hAnsi="Times New Roman" w:cs="Simplified Arabic" w:hint="cs"/>
          <w:rtl/>
          <w:lang w:bidi="ar-MA"/>
        </w:rPr>
        <w:t xml:space="preserve"> و </w:t>
      </w:r>
      <w:r w:rsidR="00DF086B" w:rsidRPr="00611F15">
        <w:rPr>
          <w:rFonts w:ascii="Times New Roman" w:hAnsi="Times New Roman" w:cs="Simplified Arabic" w:hint="cs"/>
          <w:rtl/>
          <w:lang w:bidi="ar-MA"/>
        </w:rPr>
        <w:t xml:space="preserve">ناقص 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75</w:t>
      </w:r>
      <w:r w:rsidR="00DF086B" w:rsidRPr="001A0FD9">
        <w:rPr>
          <w:rFonts w:ascii="Times New Roman" w:hAnsi="Times New Roman" w:cs="Simplified Arabic"/>
          <w:rtl/>
          <w:lang w:bidi="ar-MA"/>
        </w:rPr>
        <w:t>,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1 </w:t>
      </w:r>
      <w:r w:rsidR="00DF086B" w:rsidRPr="00611F15">
        <w:rPr>
          <w:rFonts w:ascii="Times New Roman" w:hAnsi="Times New Roman" w:cs="Simplified Arabic" w:hint="cs"/>
          <w:rtl/>
          <w:lang w:bidi="ar-MA"/>
        </w:rPr>
        <w:t>نقطة خلال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 </w:t>
      </w:r>
      <w:r w:rsidR="00E47193">
        <w:rPr>
          <w:rFonts w:ascii="Times New Roman" w:hAnsi="Times New Roman" w:cs="Simplified Arabic" w:hint="cs"/>
          <w:rtl/>
          <w:lang w:bidi="ar-MA"/>
        </w:rPr>
        <w:t>نفس الفصل من السنة الماضية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.</w:t>
      </w:r>
    </w:p>
    <w:p w:rsidR="000B04E0" w:rsidRDefault="000B04E0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</w:p>
    <w:p w:rsidR="00DF086B" w:rsidRDefault="00DF086B" w:rsidP="00DF086B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</w:p>
    <w:p w:rsidR="00DF086B" w:rsidRDefault="00DF086B" w:rsidP="00DF086B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</w:p>
    <w:p w:rsidR="000B04E0" w:rsidRPr="00E57838" w:rsidRDefault="000B04E0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</w:p>
    <w:p w:rsidR="0047396E" w:rsidRPr="00D22424" w:rsidRDefault="0047396E" w:rsidP="008E6EF5">
      <w:pPr>
        <w:pStyle w:val="Paragraphedeliste"/>
        <w:widowControl/>
        <w:numPr>
          <w:ilvl w:val="1"/>
          <w:numId w:val="2"/>
        </w:numPr>
        <w:autoSpaceDE/>
        <w:autoSpaceDN/>
        <w:bidi/>
        <w:adjustRightInd/>
        <w:spacing w:after="200" w:line="360" w:lineRule="auto"/>
        <w:jc w:val="both"/>
        <w:rPr>
          <w:rFonts w:ascii="Times New Roman" w:hAnsi="Times New Roman" w:cs="Simplified Arabic"/>
          <w:b/>
          <w:bCs/>
          <w:sz w:val="30"/>
          <w:szCs w:val="30"/>
          <w:lang w:bidi="ar-MA"/>
        </w:rPr>
      </w:pP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 xml:space="preserve">توقع الأسر </w:t>
      </w:r>
      <w:r w:rsidR="00FB0E1E"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با</w:t>
      </w:r>
      <w:r w:rsidRPr="00D22424">
        <w:rPr>
          <w:rFonts w:ascii="Times New Roman" w:hAnsi="Times New Roman" w:cs="Simplified Arabic" w:hint="cs"/>
          <w:b/>
          <w:bCs/>
          <w:sz w:val="30"/>
          <w:szCs w:val="30"/>
          <w:rtl/>
          <w:lang w:bidi="ar-MA"/>
        </w:rPr>
        <w:t>رتفاع أثمنة المواد الغذائية</w:t>
      </w:r>
    </w:p>
    <w:p w:rsidR="0047396E" w:rsidRPr="00E335F4" w:rsidRDefault="00BE0366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  <w:r w:rsidRPr="00BE0366">
        <w:rPr>
          <w:rFonts w:ascii="Times New Roman" w:hAnsi="Times New Roman" w:cs="Simplified Arabic" w:hint="cs"/>
          <w:rtl/>
          <w:lang w:bidi="ar-MA"/>
        </w:rPr>
        <w:t xml:space="preserve">خلال الفصل </w:t>
      </w:r>
      <w:r w:rsidR="00C00C7D">
        <w:rPr>
          <w:rFonts w:ascii="Times New Roman" w:hAnsi="Times New Roman" w:cs="Simplified Arabic" w:hint="cs"/>
          <w:rtl/>
          <w:lang w:bidi="ar-MA"/>
        </w:rPr>
        <w:t>الثالث</w:t>
      </w:r>
      <w:r w:rsidRPr="00BE0366">
        <w:rPr>
          <w:rFonts w:ascii="Times New Roman" w:hAnsi="Times New Roman" w:cs="Simplified Arabic" w:hint="cs"/>
          <w:rtl/>
          <w:lang w:bidi="ar-MA"/>
        </w:rPr>
        <w:t xml:space="preserve"> من سنة 202</w:t>
      </w:r>
      <w:r w:rsidR="005819DD">
        <w:rPr>
          <w:rFonts w:ascii="Times New Roman" w:hAnsi="Times New Roman" w:cs="Simplified Arabic" w:hint="cs"/>
          <w:rtl/>
          <w:lang w:bidi="ar-MA"/>
        </w:rPr>
        <w:t>1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>، صرحت</w:t>
      </w:r>
      <w:r w:rsidR="00DB6095" w:rsidRPr="00DB6095">
        <w:rPr>
          <w:rFonts w:ascii="Times New Roman" w:hAnsi="Times New Roman" w:cs="Simplified Arabic"/>
          <w:rtl/>
          <w:lang w:bidi="ar-MA"/>
        </w:rPr>
        <w:t>87,5%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من الأسر</w:t>
      </w:r>
      <w:r w:rsidR="00531613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بأن أسعار المواد الغذائية قد عرفت ارتفاعا خلال 12 شهرا الأخيرة، في حين رأت </w:t>
      </w:r>
      <w:r w:rsidR="00DB6095" w:rsidRPr="00DB6095">
        <w:rPr>
          <w:rFonts w:ascii="Times New Roman" w:hAnsi="Times New Roman" w:cs="Simplified Arabic"/>
          <w:rtl/>
          <w:lang w:bidi="ar-MA"/>
        </w:rPr>
        <w:t>0,6%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فقط عكس ذلك. وهكذا استقر رصيد هذا المؤشر في مستوى سلبي بلغ ناقص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B85F8A" w:rsidRPr="00B85F8A">
        <w:rPr>
          <w:rFonts w:ascii="Times New Roman" w:hAnsi="Times New Roman" w:cs="Simplified Arabic"/>
          <w:rtl/>
          <w:lang w:bidi="ar-MA"/>
        </w:rPr>
        <w:t>86,9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نقطة عوض ناقص </w:t>
      </w:r>
      <w:r w:rsidR="00B85F8A" w:rsidRPr="00B85F8A">
        <w:rPr>
          <w:rFonts w:ascii="Times New Roman" w:hAnsi="Times New Roman" w:cs="Simplified Arabic"/>
          <w:rtl/>
          <w:lang w:bidi="ar-MA"/>
        </w:rPr>
        <w:t>86,8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 نقطة خلال الفصل السابق وناقص </w:t>
      </w:r>
      <w:r w:rsidR="00321476" w:rsidRPr="00321476">
        <w:rPr>
          <w:rFonts w:ascii="Times New Roman" w:hAnsi="Times New Roman" w:cs="Simplified Arabic"/>
          <w:rtl/>
          <w:lang w:bidi="ar-MA"/>
        </w:rPr>
        <w:t>75,1</w:t>
      </w:r>
      <w:r w:rsidR="0047396E" w:rsidRPr="00E335F4">
        <w:rPr>
          <w:rFonts w:ascii="Times New Roman" w:hAnsi="Times New Roman" w:cs="Simplified Arabic" w:hint="cs"/>
          <w:rtl/>
          <w:lang w:bidi="ar-MA"/>
        </w:rPr>
        <w:t xml:space="preserve"> نقطة خلال نفس الفترة من السنة الماضية. </w:t>
      </w:r>
    </w:p>
    <w:p w:rsidR="003C1FDE" w:rsidRPr="00E335F4" w:rsidRDefault="003C1FDE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lang w:bidi="ar-MA"/>
        </w:rPr>
      </w:pPr>
    </w:p>
    <w:p w:rsidR="003C1FDE" w:rsidRDefault="0047396E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  <w:r w:rsidRPr="00E335F4">
        <w:rPr>
          <w:rFonts w:ascii="Times New Roman" w:hAnsi="Times New Roman" w:cs="Simplified Arabic" w:hint="cs"/>
          <w:rtl/>
          <w:lang w:bidi="ar-MA"/>
        </w:rPr>
        <w:t xml:space="preserve">أما بخصوص تطور أسعار المواد الغذائية خلال 12 شهرا المقبلة، فتتوقع </w:t>
      </w:r>
      <w:r w:rsidR="00475230" w:rsidRPr="00475230">
        <w:rPr>
          <w:rFonts w:ascii="Times New Roman" w:hAnsi="Times New Roman" w:cs="Simplified Arabic"/>
          <w:rtl/>
          <w:lang w:bidi="ar-MA"/>
        </w:rPr>
        <w:t>73,0%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من الأسر استمرارها في الارتفاع في حين لا يتجاوز معدل الأسر التي تنتظر انخفاضها </w:t>
      </w:r>
      <w:r w:rsidR="00475230" w:rsidRPr="00475230">
        <w:rPr>
          <w:rFonts w:ascii="Times New Roman" w:hAnsi="Times New Roman" w:cs="Simplified Arabic"/>
          <w:rtl/>
          <w:lang w:bidi="ar-MA"/>
        </w:rPr>
        <w:t>2,1%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. وهكذا استقر رصيد هذه الآراء في مستوى سلبي بلغ ناقص </w:t>
      </w:r>
      <w:r w:rsidR="00475230" w:rsidRPr="00475230">
        <w:rPr>
          <w:rFonts w:ascii="Times New Roman" w:hAnsi="Times New Roman" w:cs="Simplified Arabic"/>
          <w:rtl/>
          <w:lang w:bidi="ar-MA"/>
        </w:rPr>
        <w:t>70,9</w:t>
      </w:r>
      <w:r w:rsidRPr="00E335F4">
        <w:rPr>
          <w:rFonts w:ascii="Times New Roman" w:hAnsi="Times New Roman" w:cs="Simplified Arabic"/>
          <w:rtl/>
          <w:lang w:bidi="ar-MA"/>
        </w:rPr>
        <w:t>نقطة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، عوض ناقص </w:t>
      </w:r>
      <w:r w:rsidR="00475230" w:rsidRPr="00475230">
        <w:rPr>
          <w:rFonts w:ascii="Times New Roman" w:hAnsi="Times New Roman" w:cs="Simplified Arabic"/>
          <w:rtl/>
          <w:lang w:bidi="ar-MA"/>
        </w:rPr>
        <w:t>67,6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المسجلة خلال</w:t>
      </w:r>
      <w:r w:rsidR="00DF086B">
        <w:rPr>
          <w:rFonts w:ascii="Times New Roman" w:hAnsi="Times New Roman" w:cs="Simplified Arabic" w:hint="cs"/>
          <w:rtl/>
          <w:lang w:bidi="ar-MA"/>
        </w:rPr>
        <w:t xml:space="preserve"> </w:t>
      </w:r>
      <w:r w:rsidRPr="00E335F4">
        <w:rPr>
          <w:rFonts w:ascii="Times New Roman" w:hAnsi="Times New Roman" w:cs="Simplified Arabic" w:hint="cs"/>
          <w:rtl/>
          <w:lang w:bidi="ar-MA"/>
        </w:rPr>
        <w:t>الفصل السابق و ناقص</w:t>
      </w:r>
      <w:r w:rsidR="00475230" w:rsidRPr="00475230">
        <w:rPr>
          <w:rFonts w:ascii="Times New Roman" w:hAnsi="Times New Roman" w:cs="Simplified Arabic"/>
          <w:rtl/>
          <w:lang w:bidi="ar-MA"/>
        </w:rPr>
        <w:t>68,1</w:t>
      </w:r>
      <w:r w:rsidRPr="00E335F4">
        <w:rPr>
          <w:rFonts w:ascii="Times New Roman" w:hAnsi="Times New Roman" w:cs="Simplified Arabic" w:hint="cs"/>
          <w:rtl/>
          <w:lang w:bidi="ar-MA"/>
        </w:rPr>
        <w:t xml:space="preserve"> نقطة </w:t>
      </w:r>
      <w:r w:rsidRPr="00E335F4">
        <w:rPr>
          <w:rFonts w:ascii="Times New Roman" w:hAnsi="Times New Roman" w:cs="Simplified Arabic"/>
          <w:rtl/>
          <w:lang w:bidi="ar-MA"/>
        </w:rPr>
        <w:t>المسجل</w:t>
      </w:r>
      <w:r w:rsidRPr="00E335F4">
        <w:rPr>
          <w:rFonts w:ascii="Times New Roman" w:hAnsi="Times New Roman" w:cs="Simplified Arabic" w:hint="cs"/>
          <w:rtl/>
          <w:lang w:bidi="ar-MA"/>
        </w:rPr>
        <w:t>ة خلال نفس الفصل من السنة الماضية.</w:t>
      </w:r>
    </w:p>
    <w:p w:rsidR="00E57838" w:rsidRPr="00E335F4" w:rsidRDefault="00E57838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both"/>
        <w:rPr>
          <w:rFonts w:ascii="Times New Roman" w:hAnsi="Times New Roman" w:cs="Simplified Arabic"/>
          <w:rtl/>
          <w:lang w:bidi="ar-MA"/>
        </w:rPr>
      </w:pPr>
    </w:p>
    <w:p w:rsidR="0047396E" w:rsidRPr="000F62DE" w:rsidRDefault="00AF7CC8" w:rsidP="008E6EF5">
      <w:pPr>
        <w:pStyle w:val="Paragraphedeliste"/>
        <w:widowControl/>
        <w:autoSpaceDE/>
        <w:autoSpaceDN/>
        <w:bidi/>
        <w:adjustRightInd/>
        <w:spacing w:after="200" w:line="360" w:lineRule="auto"/>
        <w:ind w:left="502"/>
        <w:jc w:val="center"/>
        <w:rPr>
          <w:rFonts w:ascii="Times New Roman" w:hAnsi="Times New Roman" w:cs="Simplified Arabic"/>
          <w:rtl/>
          <w:lang w:bidi="ar-MA"/>
        </w:rPr>
      </w:pPr>
      <w:r>
        <w:rPr>
          <w:noProof/>
        </w:rPr>
        <w:drawing>
          <wp:inline distT="0" distB="0" distL="0" distR="0">
            <wp:extent cx="5945734" cy="3642970"/>
            <wp:effectExtent l="19050" t="0" r="16916" b="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A6C74" w:rsidRDefault="00AA6C74" w:rsidP="008E6EF5">
      <w:pPr>
        <w:bidi/>
        <w:spacing w:line="360" w:lineRule="auto"/>
        <w:rPr>
          <w:rFonts w:ascii="Times New Roman" w:hAnsi="Times New Roman" w:cs="Simplified Arabic"/>
          <w:sz w:val="32"/>
          <w:szCs w:val="32"/>
          <w:rtl/>
          <w:lang w:bidi="ar-MA"/>
        </w:rPr>
      </w:pPr>
    </w:p>
    <w:p w:rsidR="00E02045" w:rsidRDefault="00E02045" w:rsidP="008E6EF5">
      <w:pPr>
        <w:bidi/>
        <w:spacing w:line="360" w:lineRule="auto"/>
        <w:rPr>
          <w:rFonts w:ascii="Times New Roman" w:hAnsi="Times New Roman" w:cs="Simplified Arabic"/>
          <w:sz w:val="32"/>
          <w:szCs w:val="32"/>
          <w:rtl/>
          <w:lang w:bidi="ar-MA"/>
        </w:rPr>
      </w:pPr>
    </w:p>
    <w:p w:rsidR="00E02045" w:rsidRDefault="00E02045" w:rsidP="008E6EF5">
      <w:pPr>
        <w:bidi/>
        <w:spacing w:line="360" w:lineRule="auto"/>
        <w:rPr>
          <w:rFonts w:ascii="Times New Roman" w:hAnsi="Times New Roman" w:cs="Simplified Arabic"/>
          <w:sz w:val="32"/>
          <w:szCs w:val="32"/>
          <w:rtl/>
          <w:lang w:bidi="ar-MA"/>
        </w:rPr>
      </w:pPr>
    </w:p>
    <w:p w:rsidR="00E02045" w:rsidRDefault="00E02045" w:rsidP="008E6EF5">
      <w:pPr>
        <w:bidi/>
        <w:spacing w:line="360" w:lineRule="auto"/>
        <w:rPr>
          <w:rFonts w:ascii="Times New Roman" w:hAnsi="Times New Roman" w:cs="Simplified Arabic"/>
          <w:sz w:val="32"/>
          <w:szCs w:val="32"/>
          <w:rtl/>
          <w:lang w:bidi="ar-MA"/>
        </w:rPr>
      </w:pPr>
    </w:p>
    <w:p w:rsidR="0047396E" w:rsidRPr="00E335F4" w:rsidRDefault="0047396E" w:rsidP="008E6EF5">
      <w:pPr>
        <w:bidi/>
        <w:spacing w:line="360" w:lineRule="auto"/>
        <w:jc w:val="both"/>
        <w:rPr>
          <w:rFonts w:ascii="Times New Roman" w:hAnsi="Times New Roman" w:cs="Simplified Arabic"/>
          <w:b/>
          <w:bCs/>
          <w:sz w:val="28"/>
          <w:szCs w:val="28"/>
          <w:rtl/>
          <w:lang w:bidi="ar-MA"/>
        </w:rPr>
      </w:pPr>
      <w:r w:rsidRPr="00E335F4">
        <w:rPr>
          <w:rFonts w:ascii="Times New Roman" w:hAnsi="Times New Roman" w:cs="Simplified Arabic" w:hint="cs"/>
          <w:b/>
          <w:bCs/>
          <w:sz w:val="28"/>
          <w:szCs w:val="28"/>
          <w:rtl/>
          <w:lang w:bidi="ar-MA"/>
        </w:rPr>
        <w:t>فيما يلي تفصيل لنتائج مختلف المؤشرات و تذكير بأهم المفاهيم.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2"/>
      </w:tblGrid>
      <w:tr w:rsidR="0047396E" w:rsidRPr="00DC2D0E" w:rsidTr="00A1303D">
        <w:trPr>
          <w:trHeight w:val="6017"/>
          <w:jc w:val="center"/>
        </w:trPr>
        <w:tc>
          <w:tcPr>
            <w:tcW w:w="5000" w:type="pct"/>
          </w:tcPr>
          <w:p w:rsidR="0047396E" w:rsidRDefault="0047396E" w:rsidP="008E6EF5">
            <w:pPr>
              <w:bidi/>
              <w:spacing w:line="360" w:lineRule="auto"/>
              <w:ind w:left="360"/>
              <w:jc w:val="both"/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</w:pPr>
          </w:p>
          <w:p w:rsidR="0047396E" w:rsidRDefault="0047396E" w:rsidP="008E6EF5">
            <w:p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</w:pP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يتم التعبير في الرسوم البيانية عن</w:t>
            </w:r>
            <w:r w:rsidRPr="00872E0D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تطور</w:t>
            </w: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</w:t>
            </w:r>
            <w:r w:rsidR="00BE35BD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مكونات مؤش</w:t>
            </w:r>
            <w:r w:rsidR="00BE35BD">
              <w:rPr>
                <w:rFonts w:ascii="Times New Roman" w:hAnsi="Times New Roman" w:cs="Simplified Arabic" w:hint="eastAsia"/>
                <w:sz w:val="20"/>
                <w:szCs w:val="20"/>
                <w:rtl/>
                <w:lang w:bidi="ar-MA"/>
              </w:rPr>
              <w:t>ر</w:t>
            </w: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ثقة الأسر والمؤشرات الأخرى للبحث بأرصدة الآراء </w:t>
            </w:r>
          </w:p>
          <w:p w:rsidR="0047396E" w:rsidRPr="00E335F4" w:rsidRDefault="0047396E" w:rsidP="008E6EF5">
            <w:pPr>
              <w:bidi/>
              <w:spacing w:line="360" w:lineRule="auto"/>
              <w:ind w:left="360"/>
              <w:jc w:val="both"/>
              <w:rPr>
                <w:rFonts w:ascii="Times New Roman" w:hAnsi="Times New Roman" w:cs="Simplified Arabic"/>
                <w:b/>
                <w:bCs/>
                <w:sz w:val="20"/>
                <w:szCs w:val="20"/>
                <w:rtl/>
                <w:lang w:bidi="ar-MA"/>
              </w:rPr>
            </w:pPr>
            <w:r w:rsidRPr="00E335F4">
              <w:rPr>
                <w:rFonts w:ascii="Times New Roman" w:hAnsi="Times New Roman" w:cs="Simplified Arabic" w:hint="cs"/>
                <w:b/>
                <w:bCs/>
                <w:sz w:val="20"/>
                <w:szCs w:val="20"/>
                <w:rtl/>
                <w:lang w:bidi="ar-MA"/>
              </w:rPr>
              <w:t>للتذكير فإن:</w:t>
            </w:r>
          </w:p>
          <w:p w:rsidR="0047396E" w:rsidRDefault="0047396E" w:rsidP="008E6EF5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 xml:space="preserve">الأسئلة 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المطروحة تعتبر 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>كيفية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تتم الأجوبة عليها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 xml:space="preserve"> بثلاث خيارات (تحسن، استقرار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أو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 xml:space="preserve"> تدهور).تتعلق التغييرات بـ 12 شهرا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و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 xml:space="preserve">تقدم النتائج على شكل أرصدة (الفرق 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بين 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 xml:space="preserve">نسب الأجوبة 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"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>تحسن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"و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>الأجوبة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"تدهو</w:t>
            </w:r>
            <w:r w:rsidRPr="004B7848">
              <w:rPr>
                <w:rFonts w:ascii="Times New Roman" w:hAnsi="Times New Roman" w:cs="Simplified Arabic" w:hint="eastAsia"/>
                <w:sz w:val="20"/>
                <w:szCs w:val="20"/>
                <w:rtl/>
                <w:lang w:bidi="ar-MA"/>
              </w:rPr>
              <w:t>ر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"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>).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و</w:t>
            </w:r>
            <w:r w:rsidRPr="004B7848"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  <w:t>لا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يحلل مستوى الأرصدة مباشرة بل أن تطورها هو المعتمد في التحليل.</w:t>
            </w:r>
          </w:p>
          <w:p w:rsidR="0047396E" w:rsidRPr="004B7848" w:rsidRDefault="0047396E" w:rsidP="008E6EF5">
            <w:pPr>
              <w:pStyle w:val="Paragraphedeliste"/>
              <w:numPr>
                <w:ilvl w:val="0"/>
                <w:numId w:val="4"/>
              </w:num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rtl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يتم حساب مؤشر ثقة الأسر على أساس 7 مؤشرات تتعلق أربعة منها بالوضعية العامة في حين تخص الباقية الوضعية الخاصة بالأسرة وهي كالتالي :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التطورات السابقة لمستوى المعيشة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آفاق تطور مستوى المعيشة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آفاق تطور أعداد العاطلين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فرص اقتناء السلع المستديمة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الوضعية المالية الراهنة للأسر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ind w:left="1434" w:hanging="357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التطور السابق للوضعية المالية للأسر ؛</w:t>
            </w:r>
          </w:p>
          <w:p w:rsidR="0047396E" w:rsidRPr="004B7848" w:rsidRDefault="0047396E" w:rsidP="008E6EF5">
            <w:pPr>
              <w:pStyle w:val="Paragraphedeliste"/>
              <w:widowControl/>
              <w:numPr>
                <w:ilvl w:val="0"/>
                <w:numId w:val="5"/>
              </w:numPr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التطور المستقبلي للوضعية المالية للأسر.</w:t>
            </w:r>
          </w:p>
          <w:p w:rsidR="0047396E" w:rsidRDefault="0047396E" w:rsidP="008E6EF5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يتم حساب هذا المؤشر التركيبي باعتماد المعدل الحسابي لأرصدة المؤشرات السبعة المكونة له مع إضافة 100 وبالتالي تتأرجح قيمته بين 0 و 200.</w:t>
            </w:r>
          </w:p>
          <w:p w:rsidR="0047396E" w:rsidRDefault="0047396E" w:rsidP="008E6EF5">
            <w:pPr>
              <w:pStyle w:val="Paragraphedeliste"/>
              <w:numPr>
                <w:ilvl w:val="0"/>
                <w:numId w:val="6"/>
              </w:num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>لقد مكنت اختبارات إحصائية</w:t>
            </w:r>
            <w:r>
              <w:rPr>
                <w:rFonts w:ascii="Times New Roman" w:hAnsi="Times New Roman" w:cs="Simplified Arabic"/>
                <w:sz w:val="20"/>
                <w:szCs w:val="20"/>
                <w:lang w:bidi="ar-MA"/>
              </w:rPr>
              <w:t xml:space="preserve">(test de Fisher)  </w:t>
            </w: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على سلسلة مؤشر</w:t>
            </w: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ثقة الأسر</w:t>
            </w:r>
            <w:r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 خلال الفترة الممتدة من 2008 إلى2018 من تأكيد غياب التغييرات الموسمية سواء الثابتة أو المتحركة.</w:t>
            </w:r>
          </w:p>
          <w:p w:rsidR="0047396E" w:rsidRPr="001F1EA8" w:rsidRDefault="0047396E" w:rsidP="008E6EF5">
            <w:pPr>
              <w:bidi/>
              <w:spacing w:line="360" w:lineRule="auto"/>
              <w:jc w:val="both"/>
              <w:rPr>
                <w:rFonts w:ascii="Times New Roman" w:hAnsi="Times New Roman" w:cs="Simplified Arabic"/>
                <w:sz w:val="20"/>
                <w:szCs w:val="20"/>
                <w:lang w:bidi="ar-MA"/>
              </w:rPr>
            </w:pPr>
          </w:p>
          <w:p w:rsidR="0047396E" w:rsidRPr="004B7848" w:rsidRDefault="0047396E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cs="Simplified Arabic"/>
                <w:lang w:bidi="ar-MA"/>
              </w:rPr>
            </w:pPr>
            <w:r w:rsidRPr="004B7848">
              <w:rPr>
                <w:rFonts w:ascii="Times New Roman" w:hAnsi="Times New Roman" w:cs="Simplified Arabic" w:hint="cs"/>
                <w:sz w:val="20"/>
                <w:szCs w:val="20"/>
                <w:rtl/>
                <w:lang w:bidi="ar-MA"/>
              </w:rPr>
              <w:t xml:space="preserve">للمزيد من المعلومات حول الجوانب المنهجية لهذا البحث: زوروا الموقع الإلكتروني للمندوبية السامية للتخطيط   </w:t>
            </w:r>
            <w:hyperlink r:id="rId14" w:history="1">
              <w:r w:rsidRPr="004B7848">
                <w:rPr>
                  <w:rStyle w:val="Lienhypertexte"/>
                  <w:rFonts w:ascii="Times New Roman" w:hAnsi="Times New Roman" w:cs="Simplified Arabic"/>
                  <w:sz w:val="20"/>
                  <w:szCs w:val="20"/>
                  <w:lang w:bidi="ar-MA"/>
                </w:rPr>
                <w:t>www.hcp.ma</w:t>
              </w:r>
            </w:hyperlink>
          </w:p>
        </w:tc>
      </w:tr>
    </w:tbl>
    <w:p w:rsidR="0047396E" w:rsidRDefault="0047396E" w:rsidP="008E6EF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 w:cs="Simplified Arabic"/>
          <w:sz w:val="28"/>
          <w:szCs w:val="28"/>
          <w:lang w:bidi="ar-MA"/>
        </w:rPr>
        <w:sectPr w:rsidR="0047396E" w:rsidSect="0047396E">
          <w:footerReference w:type="default" r:id="rId15"/>
          <w:pgSz w:w="11906" w:h="16838"/>
          <w:pgMar w:top="1247" w:right="1274" w:bottom="1191" w:left="1276" w:header="567" w:footer="567" w:gutter="0"/>
          <w:cols w:space="708"/>
          <w:docGrid w:linePitch="360"/>
        </w:sectPr>
      </w:pPr>
    </w:p>
    <w:p w:rsidR="0047396E" w:rsidRDefault="0047396E" w:rsidP="008E6EF5">
      <w:pPr>
        <w:widowControl/>
        <w:autoSpaceDE/>
        <w:autoSpaceDN/>
        <w:bidi/>
        <w:adjustRightInd/>
        <w:spacing w:after="200" w:line="360" w:lineRule="auto"/>
        <w:ind w:firstLine="360"/>
        <w:jc w:val="center"/>
      </w:pPr>
      <w:r>
        <w:rPr>
          <w:rFonts w:ascii="Times New Roman" w:hAnsi="Times New Roman" w:cs="Simplified Arabic" w:hint="cs"/>
          <w:b/>
          <w:bCs/>
          <w:sz w:val="28"/>
          <w:szCs w:val="28"/>
          <w:rtl/>
          <w:lang w:bidi="ar-MA"/>
        </w:rPr>
        <w:lastRenderedPageBreak/>
        <w:t>ت</w:t>
      </w:r>
      <w:r w:rsidRPr="00DC2D0E">
        <w:rPr>
          <w:rFonts w:ascii="Times New Roman" w:hAnsi="Times New Roman" w:cs="Simplified Arabic"/>
          <w:b/>
          <w:bCs/>
          <w:sz w:val="28"/>
          <w:szCs w:val="28"/>
          <w:rtl/>
          <w:lang w:bidi="ar-MA"/>
        </w:rPr>
        <w:t xml:space="preserve">طور مؤشر الثقة </w:t>
      </w:r>
      <w:r>
        <w:rPr>
          <w:rFonts w:ascii="Times New Roman" w:hAnsi="Times New Roman" w:cs="Simplified Arabic" w:hint="cs"/>
          <w:b/>
          <w:bCs/>
          <w:sz w:val="28"/>
          <w:szCs w:val="28"/>
          <w:rtl/>
          <w:lang w:bidi="ar-MA"/>
        </w:rPr>
        <w:t>لدى ا</w:t>
      </w:r>
      <w:r w:rsidRPr="00DC2D0E">
        <w:rPr>
          <w:rFonts w:ascii="Times New Roman" w:hAnsi="Times New Roman" w:cs="Simplified Arabic"/>
          <w:b/>
          <w:bCs/>
          <w:sz w:val="28"/>
          <w:szCs w:val="28"/>
          <w:rtl/>
          <w:lang w:bidi="ar-MA"/>
        </w:rPr>
        <w:t>لأسر المغربية</w:t>
      </w:r>
      <w:r>
        <w:rPr>
          <w:rFonts w:ascii="Times New Roman" w:hAnsi="Times New Roman" w:cs="Simplified Arabic" w:hint="cs"/>
          <w:b/>
          <w:bCs/>
          <w:sz w:val="28"/>
          <w:szCs w:val="28"/>
          <w:rtl/>
          <w:lang w:bidi="ar-MA"/>
        </w:rPr>
        <w:t xml:space="preserve"> ومكوناته</w:t>
      </w:r>
    </w:p>
    <w:tbl>
      <w:tblPr>
        <w:tblW w:w="16219" w:type="dxa"/>
        <w:tblInd w:w="-2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563"/>
        <w:gridCol w:w="2886"/>
      </w:tblGrid>
      <w:tr w:rsidR="003301B1" w:rsidRPr="00D05FB4" w:rsidTr="003301B1">
        <w:trPr>
          <w:trHeight w:val="897"/>
        </w:trPr>
        <w:tc>
          <w:tcPr>
            <w:tcW w:w="1500" w:type="dxa"/>
            <w:gridSpan w:val="3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nil"/>
            </w:tcBorders>
            <w:vAlign w:val="center"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</w:p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  <w:t>2020</w:t>
            </w:r>
          </w:p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bidi="ar-DZ"/>
              </w:rPr>
            </w:pP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  <w:t>2017</w:t>
            </w:r>
          </w:p>
        </w:tc>
        <w:tc>
          <w:tcPr>
            <w:tcW w:w="1960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033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886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rtl/>
              </w:rPr>
              <w:t>المؤشرات</w:t>
            </w:r>
          </w:p>
        </w:tc>
      </w:tr>
      <w:tr w:rsidR="003301B1" w:rsidRPr="00D05FB4" w:rsidTr="003301B1">
        <w:trPr>
          <w:trHeight w:val="565"/>
        </w:trPr>
        <w:tc>
          <w:tcPr>
            <w:tcW w:w="50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7845E0" w:rsidRDefault="007845E0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</w:p>
          <w:p w:rsidR="003301B1" w:rsidRPr="00D05FB4" w:rsidRDefault="007845E0" w:rsidP="007845E0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ف3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6D4E2E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6D4E2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ف3</w:t>
            </w:r>
          </w:p>
        </w:tc>
        <w:tc>
          <w:tcPr>
            <w:tcW w:w="49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4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 1</w:t>
            </w:r>
          </w:p>
        </w:tc>
        <w:tc>
          <w:tcPr>
            <w:tcW w:w="2886" w:type="dxa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3301B1" w:rsidRPr="00D05FB4" w:rsidRDefault="003301B1" w:rsidP="008E6EF5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Default="003301B1" w:rsidP="003301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</w:pPr>
          </w:p>
          <w:p w:rsidR="003301B1" w:rsidRPr="0012379A" w:rsidRDefault="003301B1" w:rsidP="003301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37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65,5</w:t>
            </w:r>
          </w:p>
          <w:p w:rsidR="003301B1" w:rsidRDefault="003301B1" w:rsidP="003301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255396" w:rsidRDefault="003301B1" w:rsidP="003301B1">
            <w:pPr>
              <w:spacing w:before="24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965100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68,3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76,1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73,7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مؤشر ثقة الأسر المغربية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-69,8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-82,0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-59,9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المستقبلي للبطالة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-50,8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-50,5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-13,8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-12,8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-14,1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السابق لمستوى المعيشة بصفة عامة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9,</w:t>
            </w:r>
            <w:r>
              <w:rPr>
                <w:rFonts w:ascii="Times New Roman" w:hAnsi="Times New Roman" w:cs="Times New Roman" w:hint="cs"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0,2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fr-MA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-7,3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-8,9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آفاق تطور مستوى المعيشة بصفة عامة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-62,0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-65,6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فرص اقتناء السلع المستديمة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-36,</w:t>
            </w:r>
            <w:r>
              <w:rPr>
                <w:rFonts w:ascii="Times New Roman" w:hAnsi="Times New Roman" w:cs="Times New Roman" w:hint="cs"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-38,0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-28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-32,4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الوضعية المالية الحالية للأسرة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-48,0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-50,0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-47,4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-34,0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-20.2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السابق للوضعية المالية للأسرة</w:t>
            </w:r>
          </w:p>
        </w:tc>
      </w:tr>
      <w:tr w:rsidR="003301B1" w:rsidRPr="00D05FB4" w:rsidTr="003301B1">
        <w:trPr>
          <w:trHeight w:val="448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12379A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12379A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Pr="00F77F67" w:rsidRDefault="003301B1" w:rsidP="003301B1">
            <w:pPr>
              <w:jc w:val="center"/>
              <w:rPr>
                <w:rFonts w:ascii="Calibri" w:hAnsi="Calibri"/>
                <w:color w:val="000000"/>
                <w:sz w:val="17"/>
                <w:szCs w:val="17"/>
              </w:rPr>
            </w:pPr>
            <w:r w:rsidRPr="00F77F67">
              <w:rPr>
                <w:rFonts w:ascii="Calibri" w:hAnsi="Calibri"/>
                <w:color w:val="000000"/>
                <w:sz w:val="17"/>
                <w:szCs w:val="17"/>
              </w:rPr>
              <w:t>14,8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4,2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0,1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المرتقب للوضعية المالية للأسرة</w:t>
            </w:r>
          </w:p>
        </w:tc>
      </w:tr>
      <w:tr w:rsidR="003301B1" w:rsidRPr="00D05FB4" w:rsidTr="003301B1">
        <w:trPr>
          <w:trHeight w:val="448"/>
        </w:trPr>
        <w:tc>
          <w:tcPr>
            <w:tcW w:w="16219" w:type="dxa"/>
            <w:gridSpan w:val="2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000000"/>
            </w:tcBorders>
          </w:tcPr>
          <w:p w:rsidR="003301B1" w:rsidRPr="00DF086B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rtl/>
              </w:rPr>
            </w:pPr>
          </w:p>
          <w:p w:rsidR="003301B1" w:rsidRPr="00DF086B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F086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rtl/>
              </w:rPr>
              <w:t>مؤشرات أخرى</w:t>
            </w:r>
          </w:p>
        </w:tc>
      </w:tr>
      <w:tr w:rsidR="003301B1" w:rsidRPr="00D05FB4" w:rsidTr="003301B1">
        <w:trPr>
          <w:trHeight w:val="622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F785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Default="003301B1" w:rsidP="003301B1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965100">
              <w:rPr>
                <w:rFonts w:ascii="Calibri" w:hAnsi="Calibri" w:cs="Calibri"/>
                <w:color w:val="000000"/>
                <w:sz w:val="17"/>
                <w:szCs w:val="17"/>
              </w:rPr>
              <w:t>-67,6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-60,2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-79,3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-75.6</w:t>
            </w:r>
          </w:p>
        </w:tc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-77.2</w:t>
            </w:r>
          </w:p>
        </w:tc>
        <w:tc>
          <w:tcPr>
            <w:tcW w:w="2886" w:type="dxa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المرتقب لأسعار المواد الغذائية</w:t>
            </w:r>
          </w:p>
        </w:tc>
      </w:tr>
      <w:tr w:rsidR="003301B1" w:rsidRPr="00D05FB4" w:rsidTr="003301B1">
        <w:trPr>
          <w:trHeight w:val="710"/>
        </w:trPr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0F785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01B1" w:rsidRDefault="003301B1" w:rsidP="003301B1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965100">
              <w:rPr>
                <w:rFonts w:ascii="Calibri" w:hAnsi="Calibri" w:cs="Calibri"/>
                <w:color w:val="000000"/>
                <w:sz w:val="17"/>
                <w:szCs w:val="17"/>
              </w:rPr>
              <w:t>-86,8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-88,5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-84,3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-85,3</w:t>
            </w:r>
          </w:p>
        </w:tc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-87.2</w:t>
            </w:r>
          </w:p>
        </w:tc>
        <w:tc>
          <w:tcPr>
            <w:tcW w:w="2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التطور السابق لأسعار المواد الغذائية</w:t>
            </w:r>
          </w:p>
        </w:tc>
      </w:tr>
      <w:tr w:rsidR="003301B1" w:rsidRPr="00D05FB4" w:rsidTr="003301B1">
        <w:trPr>
          <w:trHeight w:val="1055"/>
        </w:trPr>
        <w:tc>
          <w:tcPr>
            <w:tcW w:w="500" w:type="dxa"/>
            <w:tcBorders>
              <w:top w:val="nil"/>
              <w:left w:val="single" w:sz="12" w:space="0" w:color="auto"/>
              <w:right w:val="single" w:sz="8" w:space="0" w:color="auto"/>
            </w:tcBorders>
          </w:tcPr>
          <w:p w:rsidR="003301B1" w:rsidRPr="007845E0" w:rsidRDefault="003301B1" w:rsidP="007845E0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  <w:rtl/>
              </w:rPr>
            </w:pPr>
            <w:r w:rsidRPr="007845E0">
              <w:rPr>
                <w:rFonts w:ascii="Calibri" w:hAnsi="Calibri" w:cs="Calibri"/>
                <w:color w:val="000000"/>
                <w:sz w:val="17"/>
                <w:szCs w:val="17"/>
              </w:rPr>
              <w:t>-70,4</w:t>
            </w:r>
          </w:p>
          <w:p w:rsidR="007845E0" w:rsidRPr="007845E0" w:rsidRDefault="007845E0" w:rsidP="007845E0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  <w:rtl/>
              </w:rPr>
            </w:pPr>
          </w:p>
          <w:p w:rsidR="003301B1" w:rsidRPr="007845E0" w:rsidRDefault="003301B1" w:rsidP="007845E0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3301B1" w:rsidRDefault="003301B1" w:rsidP="003301B1">
            <w:pPr>
              <w:jc w:val="center"/>
              <w:rPr>
                <w:rFonts w:ascii="Calibri" w:hAnsi="Calibri" w:cs="Calibri"/>
                <w:color w:val="000000"/>
                <w:sz w:val="17"/>
                <w:szCs w:val="17"/>
              </w:rPr>
            </w:pPr>
            <w:r w:rsidRPr="00965100">
              <w:rPr>
                <w:rFonts w:ascii="Calibri" w:hAnsi="Calibri" w:cs="Calibri"/>
                <w:color w:val="000000"/>
                <w:sz w:val="17"/>
                <w:szCs w:val="17"/>
              </w:rPr>
              <w:t>-67,2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-60,8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right w:val="single" w:sz="8" w:space="0" w:color="auto"/>
            </w:tcBorders>
            <w:vAlign w:val="center"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490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-63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-63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-58,6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-55,7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-59,1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-68,7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-67,9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-69,7</w:t>
            </w:r>
          </w:p>
        </w:tc>
        <w:tc>
          <w:tcPr>
            <w:tcW w:w="490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3301B1" w:rsidRPr="00D05FB4" w:rsidRDefault="003301B1" w:rsidP="003301B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F15A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69,2</w:t>
            </w:r>
          </w:p>
          <w:p w:rsidR="003301B1" w:rsidRPr="00D05FB4" w:rsidRDefault="003301B1" w:rsidP="003301B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4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-67,4</w:t>
            </w:r>
          </w:p>
        </w:tc>
        <w:tc>
          <w:tcPr>
            <w:tcW w:w="56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adjustRightInd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05FB4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01B1" w:rsidRPr="00D05FB4" w:rsidRDefault="003301B1" w:rsidP="003301B1">
            <w:pPr>
              <w:widowControl/>
              <w:autoSpaceDE/>
              <w:autoSpaceDN/>
              <w:bidi/>
              <w:adjustRightInd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05FB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rtl/>
              </w:rPr>
              <w:t>قدرة الأسر على الادخار خلال الأشهر المقبلة</w:t>
            </w:r>
          </w:p>
        </w:tc>
      </w:tr>
    </w:tbl>
    <w:p w:rsidR="00B51E40" w:rsidRPr="006D4E2E" w:rsidRDefault="00B51E40" w:rsidP="008E6EF5">
      <w:pPr>
        <w:bidi/>
        <w:spacing w:line="360" w:lineRule="auto"/>
        <w:jc w:val="both"/>
        <w:rPr>
          <w:lang w:val="fr-MA" w:bidi="ar-MA"/>
        </w:rPr>
      </w:pPr>
    </w:p>
    <w:sectPr w:rsidR="00B51E40" w:rsidRPr="006D4E2E" w:rsidSect="00E335F4">
      <w:pgSz w:w="16838" w:h="11906" w:orient="landscape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61E" w:rsidRDefault="000E761E" w:rsidP="00FB5154">
      <w:r>
        <w:separator/>
      </w:r>
    </w:p>
  </w:endnote>
  <w:endnote w:type="continuationSeparator" w:id="0">
    <w:p w:rsidR="000E761E" w:rsidRDefault="000E761E" w:rsidP="00FB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03D" w:rsidRDefault="00A4115B">
    <w:pPr>
      <w:pStyle w:val="Pieddepage"/>
      <w:jc w:val="center"/>
    </w:pPr>
    <w:r>
      <w:fldChar w:fldCharType="begin"/>
    </w:r>
    <w:r w:rsidR="00A1303D">
      <w:instrText xml:space="preserve"> PAGE   \* MERGEFORMAT </w:instrText>
    </w:r>
    <w:r>
      <w:fldChar w:fldCharType="separate"/>
    </w:r>
    <w:r w:rsidR="00FC28C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61E" w:rsidRDefault="000E761E" w:rsidP="00FB5154">
      <w:r>
        <w:separator/>
      </w:r>
    </w:p>
  </w:footnote>
  <w:footnote w:type="continuationSeparator" w:id="0">
    <w:p w:rsidR="000E761E" w:rsidRDefault="000E761E" w:rsidP="00FB5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6FEE"/>
    <w:multiLevelType w:val="hybridMultilevel"/>
    <w:tmpl w:val="D5B400E4"/>
    <w:lvl w:ilvl="0" w:tplc="3B72FCD0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bCs w:val="0"/>
      </w:rPr>
    </w:lvl>
    <w:lvl w:ilvl="1" w:tplc="040C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018B50F6"/>
    <w:multiLevelType w:val="hybridMultilevel"/>
    <w:tmpl w:val="7B2834A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E7449C"/>
    <w:multiLevelType w:val="hybridMultilevel"/>
    <w:tmpl w:val="F3EE99E2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352B3"/>
    <w:multiLevelType w:val="hybridMultilevel"/>
    <w:tmpl w:val="835265B6"/>
    <w:lvl w:ilvl="0" w:tplc="64BC1742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1335564"/>
    <w:multiLevelType w:val="hybridMultilevel"/>
    <w:tmpl w:val="40FEE506"/>
    <w:lvl w:ilvl="0" w:tplc="040C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 w15:restartNumberingAfterBreak="0">
    <w:nsid w:val="64BB2837"/>
    <w:multiLevelType w:val="hybridMultilevel"/>
    <w:tmpl w:val="21A8AF70"/>
    <w:lvl w:ilvl="0" w:tplc="6D2CC2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81E16"/>
    <w:multiLevelType w:val="hybridMultilevel"/>
    <w:tmpl w:val="57CA4E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56717"/>
    <w:multiLevelType w:val="hybridMultilevel"/>
    <w:tmpl w:val="75165EB6"/>
    <w:lvl w:ilvl="0" w:tplc="FA5E9E30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796616BC"/>
    <w:multiLevelType w:val="hybridMultilevel"/>
    <w:tmpl w:val="BC187EFC"/>
    <w:lvl w:ilvl="0" w:tplc="56428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AAF6C0A"/>
    <w:multiLevelType w:val="hybridMultilevel"/>
    <w:tmpl w:val="2020F5B6"/>
    <w:lvl w:ilvl="0" w:tplc="6D2CC28E">
      <w:start w:val="1"/>
      <w:numFmt w:val="decimal"/>
      <w:lvlText w:val="%1"/>
      <w:lvlJc w:val="left"/>
      <w:pPr>
        <w:ind w:left="358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4303" w:hanging="360"/>
      </w:pPr>
    </w:lvl>
    <w:lvl w:ilvl="2" w:tplc="040C001B" w:tentative="1">
      <w:start w:val="1"/>
      <w:numFmt w:val="lowerRoman"/>
      <w:lvlText w:val="%3."/>
      <w:lvlJc w:val="right"/>
      <w:pPr>
        <w:ind w:left="5023" w:hanging="180"/>
      </w:pPr>
    </w:lvl>
    <w:lvl w:ilvl="3" w:tplc="040C000F" w:tentative="1">
      <w:start w:val="1"/>
      <w:numFmt w:val="decimal"/>
      <w:lvlText w:val="%4."/>
      <w:lvlJc w:val="left"/>
      <w:pPr>
        <w:ind w:left="5743" w:hanging="360"/>
      </w:pPr>
    </w:lvl>
    <w:lvl w:ilvl="4" w:tplc="040C0019" w:tentative="1">
      <w:start w:val="1"/>
      <w:numFmt w:val="lowerLetter"/>
      <w:lvlText w:val="%5."/>
      <w:lvlJc w:val="left"/>
      <w:pPr>
        <w:ind w:left="6463" w:hanging="360"/>
      </w:pPr>
    </w:lvl>
    <w:lvl w:ilvl="5" w:tplc="040C001B" w:tentative="1">
      <w:start w:val="1"/>
      <w:numFmt w:val="lowerRoman"/>
      <w:lvlText w:val="%6."/>
      <w:lvlJc w:val="right"/>
      <w:pPr>
        <w:ind w:left="7183" w:hanging="180"/>
      </w:pPr>
    </w:lvl>
    <w:lvl w:ilvl="6" w:tplc="040C000F" w:tentative="1">
      <w:start w:val="1"/>
      <w:numFmt w:val="decimal"/>
      <w:lvlText w:val="%7."/>
      <w:lvlJc w:val="left"/>
      <w:pPr>
        <w:ind w:left="7903" w:hanging="360"/>
      </w:pPr>
    </w:lvl>
    <w:lvl w:ilvl="7" w:tplc="040C0019" w:tentative="1">
      <w:start w:val="1"/>
      <w:numFmt w:val="lowerLetter"/>
      <w:lvlText w:val="%8."/>
      <w:lvlJc w:val="left"/>
      <w:pPr>
        <w:ind w:left="8623" w:hanging="360"/>
      </w:pPr>
    </w:lvl>
    <w:lvl w:ilvl="8" w:tplc="040C001B" w:tentative="1">
      <w:start w:val="1"/>
      <w:numFmt w:val="lowerRoman"/>
      <w:lvlText w:val="%9."/>
      <w:lvlJc w:val="right"/>
      <w:pPr>
        <w:ind w:left="9343" w:hanging="180"/>
      </w:pPr>
    </w:lvl>
  </w:abstractNum>
  <w:abstractNum w:abstractNumId="10" w15:restartNumberingAfterBreak="0">
    <w:nsid w:val="7DD520AB"/>
    <w:multiLevelType w:val="hybridMultilevel"/>
    <w:tmpl w:val="7728B6E4"/>
    <w:lvl w:ilvl="0" w:tplc="FA5E9E30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32"/>
      </w:rPr>
    </w:lvl>
    <w:lvl w:ilvl="1" w:tplc="040C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1799" w:hanging="180"/>
      </w:pPr>
    </w:lvl>
    <w:lvl w:ilvl="3" w:tplc="040C000F" w:tentative="1">
      <w:start w:val="1"/>
      <w:numFmt w:val="decimal"/>
      <w:lvlText w:val="%4."/>
      <w:lvlJc w:val="left"/>
      <w:pPr>
        <w:ind w:left="2519" w:hanging="360"/>
      </w:pPr>
    </w:lvl>
    <w:lvl w:ilvl="4" w:tplc="040C0019" w:tentative="1">
      <w:start w:val="1"/>
      <w:numFmt w:val="lowerLetter"/>
      <w:lvlText w:val="%5."/>
      <w:lvlJc w:val="left"/>
      <w:pPr>
        <w:ind w:left="3239" w:hanging="360"/>
      </w:pPr>
    </w:lvl>
    <w:lvl w:ilvl="5" w:tplc="040C001B" w:tentative="1">
      <w:start w:val="1"/>
      <w:numFmt w:val="lowerRoman"/>
      <w:lvlText w:val="%6."/>
      <w:lvlJc w:val="right"/>
      <w:pPr>
        <w:ind w:left="3959" w:hanging="180"/>
      </w:pPr>
    </w:lvl>
    <w:lvl w:ilvl="6" w:tplc="040C000F" w:tentative="1">
      <w:start w:val="1"/>
      <w:numFmt w:val="decimal"/>
      <w:lvlText w:val="%7."/>
      <w:lvlJc w:val="left"/>
      <w:pPr>
        <w:ind w:left="4679" w:hanging="360"/>
      </w:pPr>
    </w:lvl>
    <w:lvl w:ilvl="7" w:tplc="040C0019" w:tentative="1">
      <w:start w:val="1"/>
      <w:numFmt w:val="lowerLetter"/>
      <w:lvlText w:val="%8."/>
      <w:lvlJc w:val="left"/>
      <w:pPr>
        <w:ind w:left="5399" w:hanging="360"/>
      </w:pPr>
    </w:lvl>
    <w:lvl w:ilvl="8" w:tplc="040C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  <w:num w:numId="11">
    <w:abstractNumId w:val="0"/>
  </w:num>
  <w:num w:numId="12">
    <w:abstractNumId w:val="10"/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54"/>
    <w:rsid w:val="00001CFD"/>
    <w:rsid w:val="0000277D"/>
    <w:rsid w:val="00002C4D"/>
    <w:rsid w:val="00003AD0"/>
    <w:rsid w:val="00005383"/>
    <w:rsid w:val="000053B0"/>
    <w:rsid w:val="000055C9"/>
    <w:rsid w:val="00006A0D"/>
    <w:rsid w:val="00007DB8"/>
    <w:rsid w:val="0001056E"/>
    <w:rsid w:val="00012214"/>
    <w:rsid w:val="000124FB"/>
    <w:rsid w:val="00012F59"/>
    <w:rsid w:val="00013F2C"/>
    <w:rsid w:val="00014615"/>
    <w:rsid w:val="000158E5"/>
    <w:rsid w:val="00015CC3"/>
    <w:rsid w:val="0001642B"/>
    <w:rsid w:val="00016667"/>
    <w:rsid w:val="00017D49"/>
    <w:rsid w:val="00017F39"/>
    <w:rsid w:val="00020B80"/>
    <w:rsid w:val="000210BB"/>
    <w:rsid w:val="00023B39"/>
    <w:rsid w:val="00023D51"/>
    <w:rsid w:val="00023DE3"/>
    <w:rsid w:val="00023FCD"/>
    <w:rsid w:val="00024034"/>
    <w:rsid w:val="00027878"/>
    <w:rsid w:val="00027CE8"/>
    <w:rsid w:val="0003089A"/>
    <w:rsid w:val="000316DF"/>
    <w:rsid w:val="00031A44"/>
    <w:rsid w:val="00032A33"/>
    <w:rsid w:val="00034D7A"/>
    <w:rsid w:val="000356AC"/>
    <w:rsid w:val="00037417"/>
    <w:rsid w:val="000377F1"/>
    <w:rsid w:val="00040601"/>
    <w:rsid w:val="00040872"/>
    <w:rsid w:val="00040A0F"/>
    <w:rsid w:val="0004224D"/>
    <w:rsid w:val="00042B74"/>
    <w:rsid w:val="00043971"/>
    <w:rsid w:val="0004405A"/>
    <w:rsid w:val="000468D3"/>
    <w:rsid w:val="00046B93"/>
    <w:rsid w:val="000501D5"/>
    <w:rsid w:val="000501F3"/>
    <w:rsid w:val="00050D46"/>
    <w:rsid w:val="00051406"/>
    <w:rsid w:val="00051FEC"/>
    <w:rsid w:val="00052202"/>
    <w:rsid w:val="000527EB"/>
    <w:rsid w:val="000534A5"/>
    <w:rsid w:val="000548F9"/>
    <w:rsid w:val="00055217"/>
    <w:rsid w:val="0006156A"/>
    <w:rsid w:val="00062005"/>
    <w:rsid w:val="00062597"/>
    <w:rsid w:val="00063E19"/>
    <w:rsid w:val="00063F28"/>
    <w:rsid w:val="000647FE"/>
    <w:rsid w:val="00064F12"/>
    <w:rsid w:val="00065EBF"/>
    <w:rsid w:val="00066304"/>
    <w:rsid w:val="00066D16"/>
    <w:rsid w:val="0006750F"/>
    <w:rsid w:val="00067D74"/>
    <w:rsid w:val="000708EE"/>
    <w:rsid w:val="00073B26"/>
    <w:rsid w:val="00074577"/>
    <w:rsid w:val="0007598E"/>
    <w:rsid w:val="00075E5A"/>
    <w:rsid w:val="00076021"/>
    <w:rsid w:val="00076EAA"/>
    <w:rsid w:val="000800CE"/>
    <w:rsid w:val="000818E4"/>
    <w:rsid w:val="00081D50"/>
    <w:rsid w:val="00084B8A"/>
    <w:rsid w:val="000874A8"/>
    <w:rsid w:val="000901AE"/>
    <w:rsid w:val="000903D3"/>
    <w:rsid w:val="000919FA"/>
    <w:rsid w:val="00092ADE"/>
    <w:rsid w:val="00092D42"/>
    <w:rsid w:val="000933BD"/>
    <w:rsid w:val="00093A05"/>
    <w:rsid w:val="00093CD0"/>
    <w:rsid w:val="00093D6B"/>
    <w:rsid w:val="00093FB7"/>
    <w:rsid w:val="000943DF"/>
    <w:rsid w:val="0009466F"/>
    <w:rsid w:val="00094954"/>
    <w:rsid w:val="00094FF2"/>
    <w:rsid w:val="00095E84"/>
    <w:rsid w:val="00096DF6"/>
    <w:rsid w:val="000A0912"/>
    <w:rsid w:val="000A0F7B"/>
    <w:rsid w:val="000A1AFF"/>
    <w:rsid w:val="000A258B"/>
    <w:rsid w:val="000A2BE2"/>
    <w:rsid w:val="000A43AB"/>
    <w:rsid w:val="000A456E"/>
    <w:rsid w:val="000A46A4"/>
    <w:rsid w:val="000A57AC"/>
    <w:rsid w:val="000A60CC"/>
    <w:rsid w:val="000A6343"/>
    <w:rsid w:val="000A7773"/>
    <w:rsid w:val="000A77B0"/>
    <w:rsid w:val="000A7DEF"/>
    <w:rsid w:val="000B00E5"/>
    <w:rsid w:val="000B03B2"/>
    <w:rsid w:val="000B04E0"/>
    <w:rsid w:val="000B170F"/>
    <w:rsid w:val="000B1D9C"/>
    <w:rsid w:val="000B3E0B"/>
    <w:rsid w:val="000B548C"/>
    <w:rsid w:val="000B783E"/>
    <w:rsid w:val="000B7A23"/>
    <w:rsid w:val="000C0C36"/>
    <w:rsid w:val="000C17AC"/>
    <w:rsid w:val="000C1FD6"/>
    <w:rsid w:val="000C24F1"/>
    <w:rsid w:val="000C39A4"/>
    <w:rsid w:val="000C4188"/>
    <w:rsid w:val="000C4CDC"/>
    <w:rsid w:val="000C542A"/>
    <w:rsid w:val="000C59A2"/>
    <w:rsid w:val="000C7397"/>
    <w:rsid w:val="000C7854"/>
    <w:rsid w:val="000D25E7"/>
    <w:rsid w:val="000D34AE"/>
    <w:rsid w:val="000D5E19"/>
    <w:rsid w:val="000D5FAB"/>
    <w:rsid w:val="000D626F"/>
    <w:rsid w:val="000D62D2"/>
    <w:rsid w:val="000D79A1"/>
    <w:rsid w:val="000E0292"/>
    <w:rsid w:val="000E1043"/>
    <w:rsid w:val="000E1729"/>
    <w:rsid w:val="000E21B3"/>
    <w:rsid w:val="000E3A3B"/>
    <w:rsid w:val="000E4043"/>
    <w:rsid w:val="000E4965"/>
    <w:rsid w:val="000E4DB6"/>
    <w:rsid w:val="000E598D"/>
    <w:rsid w:val="000E761E"/>
    <w:rsid w:val="000F02BA"/>
    <w:rsid w:val="000F0CAB"/>
    <w:rsid w:val="000F1AFE"/>
    <w:rsid w:val="000F2F41"/>
    <w:rsid w:val="000F370F"/>
    <w:rsid w:val="000F3B8E"/>
    <w:rsid w:val="000F499D"/>
    <w:rsid w:val="000F5D92"/>
    <w:rsid w:val="000F62DE"/>
    <w:rsid w:val="000F7102"/>
    <w:rsid w:val="000F7853"/>
    <w:rsid w:val="000F7A6C"/>
    <w:rsid w:val="001001D9"/>
    <w:rsid w:val="00101EF8"/>
    <w:rsid w:val="001022C1"/>
    <w:rsid w:val="00102A83"/>
    <w:rsid w:val="0010398A"/>
    <w:rsid w:val="001039B0"/>
    <w:rsid w:val="00105111"/>
    <w:rsid w:val="00105F6E"/>
    <w:rsid w:val="0011034A"/>
    <w:rsid w:val="00110633"/>
    <w:rsid w:val="00111B44"/>
    <w:rsid w:val="00111E47"/>
    <w:rsid w:val="0011409B"/>
    <w:rsid w:val="00116CCA"/>
    <w:rsid w:val="001200B6"/>
    <w:rsid w:val="001203F7"/>
    <w:rsid w:val="001214F9"/>
    <w:rsid w:val="00121FE4"/>
    <w:rsid w:val="001222CC"/>
    <w:rsid w:val="00122369"/>
    <w:rsid w:val="00122474"/>
    <w:rsid w:val="00122BBD"/>
    <w:rsid w:val="0012379A"/>
    <w:rsid w:val="00123D58"/>
    <w:rsid w:val="00123E30"/>
    <w:rsid w:val="00127E48"/>
    <w:rsid w:val="00131625"/>
    <w:rsid w:val="00132C76"/>
    <w:rsid w:val="00135734"/>
    <w:rsid w:val="00135C3A"/>
    <w:rsid w:val="0013669B"/>
    <w:rsid w:val="00136CFC"/>
    <w:rsid w:val="00136F4E"/>
    <w:rsid w:val="00137B43"/>
    <w:rsid w:val="001417AD"/>
    <w:rsid w:val="00141E9B"/>
    <w:rsid w:val="00143BF2"/>
    <w:rsid w:val="00143D45"/>
    <w:rsid w:val="001451F9"/>
    <w:rsid w:val="001469D2"/>
    <w:rsid w:val="00147008"/>
    <w:rsid w:val="00147AAF"/>
    <w:rsid w:val="00150840"/>
    <w:rsid w:val="00151435"/>
    <w:rsid w:val="00151CC9"/>
    <w:rsid w:val="001527A3"/>
    <w:rsid w:val="001529FF"/>
    <w:rsid w:val="00152A62"/>
    <w:rsid w:val="00153603"/>
    <w:rsid w:val="00155E7E"/>
    <w:rsid w:val="00156FDB"/>
    <w:rsid w:val="001604B1"/>
    <w:rsid w:val="00160CD6"/>
    <w:rsid w:val="001615E7"/>
    <w:rsid w:val="00162F0B"/>
    <w:rsid w:val="00163573"/>
    <w:rsid w:val="00163A7D"/>
    <w:rsid w:val="0016457A"/>
    <w:rsid w:val="001650C7"/>
    <w:rsid w:val="00165B54"/>
    <w:rsid w:val="001669E6"/>
    <w:rsid w:val="00167E60"/>
    <w:rsid w:val="00167E87"/>
    <w:rsid w:val="00170761"/>
    <w:rsid w:val="001708BF"/>
    <w:rsid w:val="0017103A"/>
    <w:rsid w:val="00171AFC"/>
    <w:rsid w:val="001730A1"/>
    <w:rsid w:val="00173E32"/>
    <w:rsid w:val="0017460D"/>
    <w:rsid w:val="001747ED"/>
    <w:rsid w:val="00174AA2"/>
    <w:rsid w:val="00176575"/>
    <w:rsid w:val="00176658"/>
    <w:rsid w:val="001767CD"/>
    <w:rsid w:val="00177108"/>
    <w:rsid w:val="0017770A"/>
    <w:rsid w:val="0018075C"/>
    <w:rsid w:val="0018282E"/>
    <w:rsid w:val="00183556"/>
    <w:rsid w:val="001839B1"/>
    <w:rsid w:val="00183A85"/>
    <w:rsid w:val="00184F9F"/>
    <w:rsid w:val="00185C38"/>
    <w:rsid w:val="00190362"/>
    <w:rsid w:val="00190B98"/>
    <w:rsid w:val="00192084"/>
    <w:rsid w:val="00192991"/>
    <w:rsid w:val="0019443D"/>
    <w:rsid w:val="00194803"/>
    <w:rsid w:val="00195748"/>
    <w:rsid w:val="00196E61"/>
    <w:rsid w:val="00197537"/>
    <w:rsid w:val="00197E28"/>
    <w:rsid w:val="001A02EE"/>
    <w:rsid w:val="001A06F6"/>
    <w:rsid w:val="001A0B0C"/>
    <w:rsid w:val="001A0B75"/>
    <w:rsid w:val="001A0F67"/>
    <w:rsid w:val="001A0FD9"/>
    <w:rsid w:val="001A12E0"/>
    <w:rsid w:val="001A1FBB"/>
    <w:rsid w:val="001A2E0F"/>
    <w:rsid w:val="001A3C7F"/>
    <w:rsid w:val="001A50AC"/>
    <w:rsid w:val="001A6534"/>
    <w:rsid w:val="001A6DC0"/>
    <w:rsid w:val="001A7EBC"/>
    <w:rsid w:val="001B0A37"/>
    <w:rsid w:val="001B288F"/>
    <w:rsid w:val="001B3F17"/>
    <w:rsid w:val="001B4436"/>
    <w:rsid w:val="001B57AE"/>
    <w:rsid w:val="001B5E1A"/>
    <w:rsid w:val="001B69E0"/>
    <w:rsid w:val="001B76A5"/>
    <w:rsid w:val="001B775D"/>
    <w:rsid w:val="001B7FB6"/>
    <w:rsid w:val="001C068B"/>
    <w:rsid w:val="001C1DC7"/>
    <w:rsid w:val="001C1ECC"/>
    <w:rsid w:val="001C2E48"/>
    <w:rsid w:val="001C3663"/>
    <w:rsid w:val="001C36A0"/>
    <w:rsid w:val="001C4A0B"/>
    <w:rsid w:val="001C544F"/>
    <w:rsid w:val="001C58AD"/>
    <w:rsid w:val="001C7614"/>
    <w:rsid w:val="001D0ADA"/>
    <w:rsid w:val="001D0B9C"/>
    <w:rsid w:val="001D0D6A"/>
    <w:rsid w:val="001D25F8"/>
    <w:rsid w:val="001D278A"/>
    <w:rsid w:val="001D288C"/>
    <w:rsid w:val="001D2C5D"/>
    <w:rsid w:val="001D2FA1"/>
    <w:rsid w:val="001D3B53"/>
    <w:rsid w:val="001D6107"/>
    <w:rsid w:val="001D6480"/>
    <w:rsid w:val="001D7239"/>
    <w:rsid w:val="001D7572"/>
    <w:rsid w:val="001E1ECA"/>
    <w:rsid w:val="001E329A"/>
    <w:rsid w:val="001E4979"/>
    <w:rsid w:val="001E55D0"/>
    <w:rsid w:val="001E583F"/>
    <w:rsid w:val="001E664F"/>
    <w:rsid w:val="001F08FC"/>
    <w:rsid w:val="001F0A87"/>
    <w:rsid w:val="001F1014"/>
    <w:rsid w:val="001F1A58"/>
    <w:rsid w:val="001F1B17"/>
    <w:rsid w:val="001F1EA8"/>
    <w:rsid w:val="001F729D"/>
    <w:rsid w:val="001F7C00"/>
    <w:rsid w:val="002004DC"/>
    <w:rsid w:val="00202646"/>
    <w:rsid w:val="002041DE"/>
    <w:rsid w:val="00204E3E"/>
    <w:rsid w:val="00206CBA"/>
    <w:rsid w:val="00207B77"/>
    <w:rsid w:val="00211597"/>
    <w:rsid w:val="002122D0"/>
    <w:rsid w:val="0021249E"/>
    <w:rsid w:val="00213F1E"/>
    <w:rsid w:val="0021515F"/>
    <w:rsid w:val="00215F90"/>
    <w:rsid w:val="0022035B"/>
    <w:rsid w:val="00220BFD"/>
    <w:rsid w:val="00222633"/>
    <w:rsid w:val="00223DD2"/>
    <w:rsid w:val="002244C9"/>
    <w:rsid w:val="00224CF5"/>
    <w:rsid w:val="00225ADC"/>
    <w:rsid w:val="00225CC8"/>
    <w:rsid w:val="00225D94"/>
    <w:rsid w:val="00227A99"/>
    <w:rsid w:val="0023068B"/>
    <w:rsid w:val="00232F37"/>
    <w:rsid w:val="002336B9"/>
    <w:rsid w:val="00233FDB"/>
    <w:rsid w:val="0023549A"/>
    <w:rsid w:val="002367BA"/>
    <w:rsid w:val="00237549"/>
    <w:rsid w:val="002405A5"/>
    <w:rsid w:val="002406C8"/>
    <w:rsid w:val="002419EE"/>
    <w:rsid w:val="002441C7"/>
    <w:rsid w:val="002447B7"/>
    <w:rsid w:val="0024594C"/>
    <w:rsid w:val="0024601E"/>
    <w:rsid w:val="00246AB5"/>
    <w:rsid w:val="002501E1"/>
    <w:rsid w:val="002518F7"/>
    <w:rsid w:val="0025256E"/>
    <w:rsid w:val="00253930"/>
    <w:rsid w:val="002539F4"/>
    <w:rsid w:val="00254A47"/>
    <w:rsid w:val="00254D8C"/>
    <w:rsid w:val="00254F5D"/>
    <w:rsid w:val="002550E6"/>
    <w:rsid w:val="00255827"/>
    <w:rsid w:val="00256064"/>
    <w:rsid w:val="00257304"/>
    <w:rsid w:val="002610CC"/>
    <w:rsid w:val="002617FA"/>
    <w:rsid w:val="00262199"/>
    <w:rsid w:val="0026342E"/>
    <w:rsid w:val="00264143"/>
    <w:rsid w:val="0026423C"/>
    <w:rsid w:val="00264823"/>
    <w:rsid w:val="00264A1F"/>
    <w:rsid w:val="00264AAC"/>
    <w:rsid w:val="002655BD"/>
    <w:rsid w:val="00267246"/>
    <w:rsid w:val="00267C04"/>
    <w:rsid w:val="00271AD5"/>
    <w:rsid w:val="00271D13"/>
    <w:rsid w:val="002730D2"/>
    <w:rsid w:val="002731D5"/>
    <w:rsid w:val="0027335D"/>
    <w:rsid w:val="002738F1"/>
    <w:rsid w:val="00274C15"/>
    <w:rsid w:val="00276571"/>
    <w:rsid w:val="002804A3"/>
    <w:rsid w:val="002816DB"/>
    <w:rsid w:val="0028283C"/>
    <w:rsid w:val="00282A76"/>
    <w:rsid w:val="00283F52"/>
    <w:rsid w:val="002844D8"/>
    <w:rsid w:val="0028577F"/>
    <w:rsid w:val="00287AB0"/>
    <w:rsid w:val="002908FC"/>
    <w:rsid w:val="002909C0"/>
    <w:rsid w:val="00290D24"/>
    <w:rsid w:val="00294A82"/>
    <w:rsid w:val="00294D15"/>
    <w:rsid w:val="00295120"/>
    <w:rsid w:val="0029598B"/>
    <w:rsid w:val="002A02EA"/>
    <w:rsid w:val="002A07F0"/>
    <w:rsid w:val="002A080C"/>
    <w:rsid w:val="002A0E57"/>
    <w:rsid w:val="002A2468"/>
    <w:rsid w:val="002A2576"/>
    <w:rsid w:val="002A2E4E"/>
    <w:rsid w:val="002A369A"/>
    <w:rsid w:val="002A44F9"/>
    <w:rsid w:val="002A71C9"/>
    <w:rsid w:val="002B0885"/>
    <w:rsid w:val="002B1580"/>
    <w:rsid w:val="002B1780"/>
    <w:rsid w:val="002B2F02"/>
    <w:rsid w:val="002B3B14"/>
    <w:rsid w:val="002B43C5"/>
    <w:rsid w:val="002B4CA1"/>
    <w:rsid w:val="002B56E7"/>
    <w:rsid w:val="002B5D5E"/>
    <w:rsid w:val="002B6282"/>
    <w:rsid w:val="002B668B"/>
    <w:rsid w:val="002B6E48"/>
    <w:rsid w:val="002B72F5"/>
    <w:rsid w:val="002B7CB7"/>
    <w:rsid w:val="002C315C"/>
    <w:rsid w:val="002C3B75"/>
    <w:rsid w:val="002C3DF6"/>
    <w:rsid w:val="002C41F9"/>
    <w:rsid w:val="002C44BF"/>
    <w:rsid w:val="002C5D78"/>
    <w:rsid w:val="002C7745"/>
    <w:rsid w:val="002D1876"/>
    <w:rsid w:val="002D39D6"/>
    <w:rsid w:val="002D3D04"/>
    <w:rsid w:val="002D4F45"/>
    <w:rsid w:val="002D58E3"/>
    <w:rsid w:val="002D59E5"/>
    <w:rsid w:val="002D649E"/>
    <w:rsid w:val="002D7086"/>
    <w:rsid w:val="002E0ADB"/>
    <w:rsid w:val="002E2CB3"/>
    <w:rsid w:val="002E5376"/>
    <w:rsid w:val="002E6635"/>
    <w:rsid w:val="002E7A4A"/>
    <w:rsid w:val="002F0FB7"/>
    <w:rsid w:val="002F3305"/>
    <w:rsid w:val="002F39AB"/>
    <w:rsid w:val="002F5099"/>
    <w:rsid w:val="002F6C71"/>
    <w:rsid w:val="0030041D"/>
    <w:rsid w:val="00301D35"/>
    <w:rsid w:val="00303111"/>
    <w:rsid w:val="00304271"/>
    <w:rsid w:val="00304C66"/>
    <w:rsid w:val="00304F41"/>
    <w:rsid w:val="003054DA"/>
    <w:rsid w:val="00305621"/>
    <w:rsid w:val="00305668"/>
    <w:rsid w:val="00306A01"/>
    <w:rsid w:val="00306B5B"/>
    <w:rsid w:val="0030712F"/>
    <w:rsid w:val="0030785C"/>
    <w:rsid w:val="00307A5B"/>
    <w:rsid w:val="00310353"/>
    <w:rsid w:val="003123A4"/>
    <w:rsid w:val="003129C4"/>
    <w:rsid w:val="0031379F"/>
    <w:rsid w:val="00313AB9"/>
    <w:rsid w:val="00313D8D"/>
    <w:rsid w:val="00313DAF"/>
    <w:rsid w:val="0031641F"/>
    <w:rsid w:val="00316589"/>
    <w:rsid w:val="00316A54"/>
    <w:rsid w:val="0032032C"/>
    <w:rsid w:val="003211BC"/>
    <w:rsid w:val="00321476"/>
    <w:rsid w:val="00321810"/>
    <w:rsid w:val="00323553"/>
    <w:rsid w:val="00323678"/>
    <w:rsid w:val="00323EF8"/>
    <w:rsid w:val="0032715A"/>
    <w:rsid w:val="0033012D"/>
    <w:rsid w:val="003301B1"/>
    <w:rsid w:val="003304BC"/>
    <w:rsid w:val="00330B2D"/>
    <w:rsid w:val="00331F00"/>
    <w:rsid w:val="003321E4"/>
    <w:rsid w:val="003325D6"/>
    <w:rsid w:val="003327D6"/>
    <w:rsid w:val="0033483C"/>
    <w:rsid w:val="00334865"/>
    <w:rsid w:val="00334D0F"/>
    <w:rsid w:val="0033541B"/>
    <w:rsid w:val="00335964"/>
    <w:rsid w:val="00336AC7"/>
    <w:rsid w:val="00340446"/>
    <w:rsid w:val="00340AA6"/>
    <w:rsid w:val="0034158E"/>
    <w:rsid w:val="00341A12"/>
    <w:rsid w:val="00342122"/>
    <w:rsid w:val="00342635"/>
    <w:rsid w:val="00342898"/>
    <w:rsid w:val="00343D5A"/>
    <w:rsid w:val="003441CD"/>
    <w:rsid w:val="00346369"/>
    <w:rsid w:val="00346F4B"/>
    <w:rsid w:val="003505A4"/>
    <w:rsid w:val="00350683"/>
    <w:rsid w:val="0035206B"/>
    <w:rsid w:val="003526E0"/>
    <w:rsid w:val="0035293A"/>
    <w:rsid w:val="00353952"/>
    <w:rsid w:val="003549B7"/>
    <w:rsid w:val="00355DE2"/>
    <w:rsid w:val="00356465"/>
    <w:rsid w:val="00357020"/>
    <w:rsid w:val="00360807"/>
    <w:rsid w:val="00361074"/>
    <w:rsid w:val="00362483"/>
    <w:rsid w:val="0036388B"/>
    <w:rsid w:val="003639B6"/>
    <w:rsid w:val="00363FED"/>
    <w:rsid w:val="00365421"/>
    <w:rsid w:val="0036634B"/>
    <w:rsid w:val="0036643E"/>
    <w:rsid w:val="0036683F"/>
    <w:rsid w:val="0036731F"/>
    <w:rsid w:val="003708C3"/>
    <w:rsid w:val="003731F3"/>
    <w:rsid w:val="00373CA1"/>
    <w:rsid w:val="003748E7"/>
    <w:rsid w:val="003764DE"/>
    <w:rsid w:val="00377363"/>
    <w:rsid w:val="003774FD"/>
    <w:rsid w:val="0037790B"/>
    <w:rsid w:val="003810D0"/>
    <w:rsid w:val="00381B13"/>
    <w:rsid w:val="003832F7"/>
    <w:rsid w:val="00385EA8"/>
    <w:rsid w:val="003866C9"/>
    <w:rsid w:val="003875BA"/>
    <w:rsid w:val="00387B6D"/>
    <w:rsid w:val="0039103E"/>
    <w:rsid w:val="003915CF"/>
    <w:rsid w:val="00392A21"/>
    <w:rsid w:val="0039544A"/>
    <w:rsid w:val="00397340"/>
    <w:rsid w:val="0039764C"/>
    <w:rsid w:val="00397951"/>
    <w:rsid w:val="003A008A"/>
    <w:rsid w:val="003A1537"/>
    <w:rsid w:val="003A2E50"/>
    <w:rsid w:val="003A5AEE"/>
    <w:rsid w:val="003A6AAA"/>
    <w:rsid w:val="003B0304"/>
    <w:rsid w:val="003B48EE"/>
    <w:rsid w:val="003B50A3"/>
    <w:rsid w:val="003B658A"/>
    <w:rsid w:val="003B6952"/>
    <w:rsid w:val="003B758F"/>
    <w:rsid w:val="003C03A4"/>
    <w:rsid w:val="003C08DE"/>
    <w:rsid w:val="003C18CC"/>
    <w:rsid w:val="003C1BB4"/>
    <w:rsid w:val="003C1E02"/>
    <w:rsid w:val="003C1FDE"/>
    <w:rsid w:val="003C3C0C"/>
    <w:rsid w:val="003C41F4"/>
    <w:rsid w:val="003C525A"/>
    <w:rsid w:val="003C5A97"/>
    <w:rsid w:val="003C6FDB"/>
    <w:rsid w:val="003D2472"/>
    <w:rsid w:val="003D2F3E"/>
    <w:rsid w:val="003D6572"/>
    <w:rsid w:val="003D76CB"/>
    <w:rsid w:val="003D7AF5"/>
    <w:rsid w:val="003E0407"/>
    <w:rsid w:val="003E0E5B"/>
    <w:rsid w:val="003E2375"/>
    <w:rsid w:val="003E2DE1"/>
    <w:rsid w:val="003E37B6"/>
    <w:rsid w:val="003E4E24"/>
    <w:rsid w:val="003E7980"/>
    <w:rsid w:val="003F0041"/>
    <w:rsid w:val="003F10A2"/>
    <w:rsid w:val="003F16A4"/>
    <w:rsid w:val="003F2F10"/>
    <w:rsid w:val="003F35F7"/>
    <w:rsid w:val="003F4456"/>
    <w:rsid w:val="003F4E59"/>
    <w:rsid w:val="004002BC"/>
    <w:rsid w:val="00401AE2"/>
    <w:rsid w:val="00403792"/>
    <w:rsid w:val="00406DA7"/>
    <w:rsid w:val="0040708A"/>
    <w:rsid w:val="0041124B"/>
    <w:rsid w:val="0041230B"/>
    <w:rsid w:val="00412C17"/>
    <w:rsid w:val="004137F0"/>
    <w:rsid w:val="00413913"/>
    <w:rsid w:val="00414F76"/>
    <w:rsid w:val="00416B31"/>
    <w:rsid w:val="00417038"/>
    <w:rsid w:val="00417BC7"/>
    <w:rsid w:val="004221A9"/>
    <w:rsid w:val="00422C2D"/>
    <w:rsid w:val="00424701"/>
    <w:rsid w:val="00424A6C"/>
    <w:rsid w:val="004259DA"/>
    <w:rsid w:val="00426888"/>
    <w:rsid w:val="00430329"/>
    <w:rsid w:val="00430D3F"/>
    <w:rsid w:val="004317A2"/>
    <w:rsid w:val="00432805"/>
    <w:rsid w:val="004335D4"/>
    <w:rsid w:val="00434B75"/>
    <w:rsid w:val="00435F3C"/>
    <w:rsid w:val="00436324"/>
    <w:rsid w:val="004367B3"/>
    <w:rsid w:val="00440B2C"/>
    <w:rsid w:val="004414E7"/>
    <w:rsid w:val="00441C14"/>
    <w:rsid w:val="004426C4"/>
    <w:rsid w:val="004451EA"/>
    <w:rsid w:val="00446004"/>
    <w:rsid w:val="004479A1"/>
    <w:rsid w:val="00447F5A"/>
    <w:rsid w:val="00453689"/>
    <w:rsid w:val="00453863"/>
    <w:rsid w:val="0045623F"/>
    <w:rsid w:val="00456931"/>
    <w:rsid w:val="0045696E"/>
    <w:rsid w:val="00456B08"/>
    <w:rsid w:val="00457685"/>
    <w:rsid w:val="0046035D"/>
    <w:rsid w:val="004627A2"/>
    <w:rsid w:val="00462C5B"/>
    <w:rsid w:val="00464BE4"/>
    <w:rsid w:val="004662C1"/>
    <w:rsid w:val="0046693A"/>
    <w:rsid w:val="00466D3A"/>
    <w:rsid w:val="004675A4"/>
    <w:rsid w:val="00467660"/>
    <w:rsid w:val="004708FB"/>
    <w:rsid w:val="0047185F"/>
    <w:rsid w:val="004719B5"/>
    <w:rsid w:val="00472DBD"/>
    <w:rsid w:val="00472F8A"/>
    <w:rsid w:val="004733A6"/>
    <w:rsid w:val="0047396E"/>
    <w:rsid w:val="00473FD4"/>
    <w:rsid w:val="004744D0"/>
    <w:rsid w:val="004749DE"/>
    <w:rsid w:val="00475230"/>
    <w:rsid w:val="004762FA"/>
    <w:rsid w:val="00476366"/>
    <w:rsid w:val="004766CA"/>
    <w:rsid w:val="00476C9E"/>
    <w:rsid w:val="00476E69"/>
    <w:rsid w:val="004776ED"/>
    <w:rsid w:val="0048029E"/>
    <w:rsid w:val="00480CA5"/>
    <w:rsid w:val="0048182B"/>
    <w:rsid w:val="00481EFE"/>
    <w:rsid w:val="00482067"/>
    <w:rsid w:val="00483BE9"/>
    <w:rsid w:val="00485521"/>
    <w:rsid w:val="00485763"/>
    <w:rsid w:val="00486B84"/>
    <w:rsid w:val="00491FC0"/>
    <w:rsid w:val="00496B43"/>
    <w:rsid w:val="0049768C"/>
    <w:rsid w:val="00497946"/>
    <w:rsid w:val="004A0337"/>
    <w:rsid w:val="004A0A68"/>
    <w:rsid w:val="004A0D10"/>
    <w:rsid w:val="004A0F0D"/>
    <w:rsid w:val="004A1A98"/>
    <w:rsid w:val="004A1D3D"/>
    <w:rsid w:val="004A2939"/>
    <w:rsid w:val="004A300A"/>
    <w:rsid w:val="004A321B"/>
    <w:rsid w:val="004A5633"/>
    <w:rsid w:val="004A5752"/>
    <w:rsid w:val="004A5F8A"/>
    <w:rsid w:val="004B10C3"/>
    <w:rsid w:val="004B2B17"/>
    <w:rsid w:val="004B2CF6"/>
    <w:rsid w:val="004B448E"/>
    <w:rsid w:val="004B47BC"/>
    <w:rsid w:val="004B5740"/>
    <w:rsid w:val="004B5F68"/>
    <w:rsid w:val="004B6AF1"/>
    <w:rsid w:val="004B79A9"/>
    <w:rsid w:val="004C1865"/>
    <w:rsid w:val="004C2E15"/>
    <w:rsid w:val="004C2E3C"/>
    <w:rsid w:val="004C3136"/>
    <w:rsid w:val="004C5AD7"/>
    <w:rsid w:val="004C7F37"/>
    <w:rsid w:val="004C7FE4"/>
    <w:rsid w:val="004D0015"/>
    <w:rsid w:val="004D03B3"/>
    <w:rsid w:val="004D0C77"/>
    <w:rsid w:val="004D10A3"/>
    <w:rsid w:val="004D12B5"/>
    <w:rsid w:val="004D2C07"/>
    <w:rsid w:val="004D3675"/>
    <w:rsid w:val="004D3AC3"/>
    <w:rsid w:val="004D4F3C"/>
    <w:rsid w:val="004D5745"/>
    <w:rsid w:val="004D5AEC"/>
    <w:rsid w:val="004E0811"/>
    <w:rsid w:val="004E102A"/>
    <w:rsid w:val="004E3A59"/>
    <w:rsid w:val="004E426A"/>
    <w:rsid w:val="004E4DF1"/>
    <w:rsid w:val="004E5F17"/>
    <w:rsid w:val="004E6D10"/>
    <w:rsid w:val="004E6F49"/>
    <w:rsid w:val="004E7AA1"/>
    <w:rsid w:val="004E7FFB"/>
    <w:rsid w:val="004F094D"/>
    <w:rsid w:val="004F1F8A"/>
    <w:rsid w:val="004F3FE3"/>
    <w:rsid w:val="004F6E4F"/>
    <w:rsid w:val="00500767"/>
    <w:rsid w:val="00500AA9"/>
    <w:rsid w:val="005011E5"/>
    <w:rsid w:val="00502046"/>
    <w:rsid w:val="005034E0"/>
    <w:rsid w:val="00504DDB"/>
    <w:rsid w:val="005059EA"/>
    <w:rsid w:val="00506AE4"/>
    <w:rsid w:val="00510209"/>
    <w:rsid w:val="00510502"/>
    <w:rsid w:val="005116B4"/>
    <w:rsid w:val="00512D03"/>
    <w:rsid w:val="00513331"/>
    <w:rsid w:val="00513A07"/>
    <w:rsid w:val="00513CDE"/>
    <w:rsid w:val="00514041"/>
    <w:rsid w:val="00514628"/>
    <w:rsid w:val="005148C5"/>
    <w:rsid w:val="00515511"/>
    <w:rsid w:val="00516647"/>
    <w:rsid w:val="0051667C"/>
    <w:rsid w:val="0051752F"/>
    <w:rsid w:val="00517538"/>
    <w:rsid w:val="005226E3"/>
    <w:rsid w:val="00524451"/>
    <w:rsid w:val="005249D8"/>
    <w:rsid w:val="005268BB"/>
    <w:rsid w:val="00526C1E"/>
    <w:rsid w:val="0052708E"/>
    <w:rsid w:val="00527F86"/>
    <w:rsid w:val="00530DA5"/>
    <w:rsid w:val="00530FFD"/>
    <w:rsid w:val="00531613"/>
    <w:rsid w:val="005332F6"/>
    <w:rsid w:val="00533E6F"/>
    <w:rsid w:val="005361FA"/>
    <w:rsid w:val="005370AD"/>
    <w:rsid w:val="00537B2F"/>
    <w:rsid w:val="005407A5"/>
    <w:rsid w:val="0054173D"/>
    <w:rsid w:val="005417F0"/>
    <w:rsid w:val="00542E22"/>
    <w:rsid w:val="00542E8A"/>
    <w:rsid w:val="0054372D"/>
    <w:rsid w:val="0054396F"/>
    <w:rsid w:val="00543D43"/>
    <w:rsid w:val="00544648"/>
    <w:rsid w:val="00545871"/>
    <w:rsid w:val="005461C7"/>
    <w:rsid w:val="0054625D"/>
    <w:rsid w:val="00546BFA"/>
    <w:rsid w:val="00546F50"/>
    <w:rsid w:val="00551BD7"/>
    <w:rsid w:val="0055413F"/>
    <w:rsid w:val="00554D00"/>
    <w:rsid w:val="00556966"/>
    <w:rsid w:val="0055746E"/>
    <w:rsid w:val="00557807"/>
    <w:rsid w:val="005607B0"/>
    <w:rsid w:val="00561537"/>
    <w:rsid w:val="00561C13"/>
    <w:rsid w:val="0056293A"/>
    <w:rsid w:val="00563D30"/>
    <w:rsid w:val="00564C62"/>
    <w:rsid w:val="00566189"/>
    <w:rsid w:val="005668CF"/>
    <w:rsid w:val="00567F91"/>
    <w:rsid w:val="0057089E"/>
    <w:rsid w:val="00570A60"/>
    <w:rsid w:val="0057415A"/>
    <w:rsid w:val="00576788"/>
    <w:rsid w:val="005768CE"/>
    <w:rsid w:val="005776A9"/>
    <w:rsid w:val="005810E2"/>
    <w:rsid w:val="005819DD"/>
    <w:rsid w:val="00581E57"/>
    <w:rsid w:val="00586DD9"/>
    <w:rsid w:val="00586FD6"/>
    <w:rsid w:val="00587280"/>
    <w:rsid w:val="00587D10"/>
    <w:rsid w:val="00587DC3"/>
    <w:rsid w:val="0059004C"/>
    <w:rsid w:val="005901D8"/>
    <w:rsid w:val="00591390"/>
    <w:rsid w:val="0059222A"/>
    <w:rsid w:val="0059278D"/>
    <w:rsid w:val="00592D04"/>
    <w:rsid w:val="00594830"/>
    <w:rsid w:val="00596AB7"/>
    <w:rsid w:val="0059711C"/>
    <w:rsid w:val="00597787"/>
    <w:rsid w:val="00597C7F"/>
    <w:rsid w:val="005A0430"/>
    <w:rsid w:val="005A142C"/>
    <w:rsid w:val="005A1B82"/>
    <w:rsid w:val="005A1CB8"/>
    <w:rsid w:val="005A21E2"/>
    <w:rsid w:val="005A2385"/>
    <w:rsid w:val="005A2D0A"/>
    <w:rsid w:val="005A45B7"/>
    <w:rsid w:val="005A4C7C"/>
    <w:rsid w:val="005A640C"/>
    <w:rsid w:val="005A7C02"/>
    <w:rsid w:val="005B1C7E"/>
    <w:rsid w:val="005B30C2"/>
    <w:rsid w:val="005B475A"/>
    <w:rsid w:val="005B5D9B"/>
    <w:rsid w:val="005B6985"/>
    <w:rsid w:val="005B69FE"/>
    <w:rsid w:val="005C100E"/>
    <w:rsid w:val="005C1C08"/>
    <w:rsid w:val="005C23D9"/>
    <w:rsid w:val="005C24BD"/>
    <w:rsid w:val="005C311A"/>
    <w:rsid w:val="005C36E7"/>
    <w:rsid w:val="005C3C2D"/>
    <w:rsid w:val="005C3E33"/>
    <w:rsid w:val="005C4E3B"/>
    <w:rsid w:val="005C7210"/>
    <w:rsid w:val="005C7953"/>
    <w:rsid w:val="005C79C5"/>
    <w:rsid w:val="005D040A"/>
    <w:rsid w:val="005D21DC"/>
    <w:rsid w:val="005D2CBE"/>
    <w:rsid w:val="005D3E17"/>
    <w:rsid w:val="005D51CA"/>
    <w:rsid w:val="005D6D8B"/>
    <w:rsid w:val="005E2333"/>
    <w:rsid w:val="005E30B1"/>
    <w:rsid w:val="005E4263"/>
    <w:rsid w:val="005E53EE"/>
    <w:rsid w:val="005E75B8"/>
    <w:rsid w:val="005E7DB3"/>
    <w:rsid w:val="005F04D0"/>
    <w:rsid w:val="005F0E53"/>
    <w:rsid w:val="005F0E73"/>
    <w:rsid w:val="005F0ED8"/>
    <w:rsid w:val="005F4016"/>
    <w:rsid w:val="005F42BA"/>
    <w:rsid w:val="005F4C0B"/>
    <w:rsid w:val="005F5895"/>
    <w:rsid w:val="005F6D36"/>
    <w:rsid w:val="005F704D"/>
    <w:rsid w:val="005F7B80"/>
    <w:rsid w:val="005F7F29"/>
    <w:rsid w:val="0060024A"/>
    <w:rsid w:val="00601E92"/>
    <w:rsid w:val="006024F0"/>
    <w:rsid w:val="00602E19"/>
    <w:rsid w:val="00607B45"/>
    <w:rsid w:val="00611033"/>
    <w:rsid w:val="00611AA3"/>
    <w:rsid w:val="00611F15"/>
    <w:rsid w:val="006128D5"/>
    <w:rsid w:val="00612F7A"/>
    <w:rsid w:val="00614661"/>
    <w:rsid w:val="00615993"/>
    <w:rsid w:val="00620802"/>
    <w:rsid w:val="00621804"/>
    <w:rsid w:val="006225D1"/>
    <w:rsid w:val="00622A3A"/>
    <w:rsid w:val="00622D42"/>
    <w:rsid w:val="006259C3"/>
    <w:rsid w:val="0062655E"/>
    <w:rsid w:val="00627259"/>
    <w:rsid w:val="00630E9E"/>
    <w:rsid w:val="00631571"/>
    <w:rsid w:val="00632165"/>
    <w:rsid w:val="0063275B"/>
    <w:rsid w:val="00632A0D"/>
    <w:rsid w:val="00632BA8"/>
    <w:rsid w:val="00634D0A"/>
    <w:rsid w:val="00635C99"/>
    <w:rsid w:val="00636446"/>
    <w:rsid w:val="0063796C"/>
    <w:rsid w:val="00642F6E"/>
    <w:rsid w:val="0064366A"/>
    <w:rsid w:val="00643DBC"/>
    <w:rsid w:val="006463D8"/>
    <w:rsid w:val="006500BA"/>
    <w:rsid w:val="00652E79"/>
    <w:rsid w:val="00657AAF"/>
    <w:rsid w:val="00660179"/>
    <w:rsid w:val="006620AA"/>
    <w:rsid w:val="00663D65"/>
    <w:rsid w:val="00664B34"/>
    <w:rsid w:val="00665595"/>
    <w:rsid w:val="006656D8"/>
    <w:rsid w:val="00667AB1"/>
    <w:rsid w:val="00667F70"/>
    <w:rsid w:val="00670340"/>
    <w:rsid w:val="006705DD"/>
    <w:rsid w:val="0067071E"/>
    <w:rsid w:val="00680044"/>
    <w:rsid w:val="0068038B"/>
    <w:rsid w:val="006809E3"/>
    <w:rsid w:val="00681042"/>
    <w:rsid w:val="0068132A"/>
    <w:rsid w:val="00682679"/>
    <w:rsid w:val="00682F97"/>
    <w:rsid w:val="00685317"/>
    <w:rsid w:val="00685E30"/>
    <w:rsid w:val="00687E05"/>
    <w:rsid w:val="00693796"/>
    <w:rsid w:val="006937A8"/>
    <w:rsid w:val="006938A6"/>
    <w:rsid w:val="00694905"/>
    <w:rsid w:val="0069557F"/>
    <w:rsid w:val="00695597"/>
    <w:rsid w:val="00696CBF"/>
    <w:rsid w:val="00697BCD"/>
    <w:rsid w:val="006A019B"/>
    <w:rsid w:val="006A0FD3"/>
    <w:rsid w:val="006A1177"/>
    <w:rsid w:val="006A17DF"/>
    <w:rsid w:val="006A600B"/>
    <w:rsid w:val="006A64D4"/>
    <w:rsid w:val="006A6DA5"/>
    <w:rsid w:val="006A752D"/>
    <w:rsid w:val="006B076D"/>
    <w:rsid w:val="006B1374"/>
    <w:rsid w:val="006B15AB"/>
    <w:rsid w:val="006B1887"/>
    <w:rsid w:val="006B1F26"/>
    <w:rsid w:val="006B2192"/>
    <w:rsid w:val="006B5175"/>
    <w:rsid w:val="006B6034"/>
    <w:rsid w:val="006B7121"/>
    <w:rsid w:val="006B7866"/>
    <w:rsid w:val="006B7D9F"/>
    <w:rsid w:val="006C2E02"/>
    <w:rsid w:val="006C6538"/>
    <w:rsid w:val="006C6950"/>
    <w:rsid w:val="006C6C31"/>
    <w:rsid w:val="006D03A6"/>
    <w:rsid w:val="006D060F"/>
    <w:rsid w:val="006D1A39"/>
    <w:rsid w:val="006D2622"/>
    <w:rsid w:val="006D32C4"/>
    <w:rsid w:val="006D449E"/>
    <w:rsid w:val="006D45F0"/>
    <w:rsid w:val="006D4E2E"/>
    <w:rsid w:val="006D54BD"/>
    <w:rsid w:val="006D5E23"/>
    <w:rsid w:val="006D61DB"/>
    <w:rsid w:val="006D73B5"/>
    <w:rsid w:val="006D7C61"/>
    <w:rsid w:val="006E0B7B"/>
    <w:rsid w:val="006E351F"/>
    <w:rsid w:val="006E4001"/>
    <w:rsid w:val="006E4D83"/>
    <w:rsid w:val="006E4F29"/>
    <w:rsid w:val="006E5675"/>
    <w:rsid w:val="006F11AF"/>
    <w:rsid w:val="006F2166"/>
    <w:rsid w:val="006F2FF4"/>
    <w:rsid w:val="006F6164"/>
    <w:rsid w:val="006F7FF2"/>
    <w:rsid w:val="00700AC9"/>
    <w:rsid w:val="00701282"/>
    <w:rsid w:val="00701722"/>
    <w:rsid w:val="00703299"/>
    <w:rsid w:val="00703C64"/>
    <w:rsid w:val="00704B0E"/>
    <w:rsid w:val="00707C3E"/>
    <w:rsid w:val="0071072C"/>
    <w:rsid w:val="00711669"/>
    <w:rsid w:val="00711A50"/>
    <w:rsid w:val="00712CE2"/>
    <w:rsid w:val="007133AB"/>
    <w:rsid w:val="0071371E"/>
    <w:rsid w:val="00713AEA"/>
    <w:rsid w:val="00714F2C"/>
    <w:rsid w:val="00716460"/>
    <w:rsid w:val="00717898"/>
    <w:rsid w:val="0072041A"/>
    <w:rsid w:val="00720D19"/>
    <w:rsid w:val="00721002"/>
    <w:rsid w:val="00722111"/>
    <w:rsid w:val="00722495"/>
    <w:rsid w:val="00722B36"/>
    <w:rsid w:val="007249BA"/>
    <w:rsid w:val="00725118"/>
    <w:rsid w:val="00726AA8"/>
    <w:rsid w:val="00727EE4"/>
    <w:rsid w:val="0073188D"/>
    <w:rsid w:val="00731C5E"/>
    <w:rsid w:val="00732540"/>
    <w:rsid w:val="00732867"/>
    <w:rsid w:val="00732DCF"/>
    <w:rsid w:val="00733628"/>
    <w:rsid w:val="00735E42"/>
    <w:rsid w:val="007378C8"/>
    <w:rsid w:val="0074287F"/>
    <w:rsid w:val="0074437E"/>
    <w:rsid w:val="00745BD3"/>
    <w:rsid w:val="0074631B"/>
    <w:rsid w:val="007464E3"/>
    <w:rsid w:val="00750142"/>
    <w:rsid w:val="00750690"/>
    <w:rsid w:val="0075104C"/>
    <w:rsid w:val="0075170A"/>
    <w:rsid w:val="00751DD8"/>
    <w:rsid w:val="00751E8B"/>
    <w:rsid w:val="00755B45"/>
    <w:rsid w:val="00757C27"/>
    <w:rsid w:val="0076084A"/>
    <w:rsid w:val="00761563"/>
    <w:rsid w:val="0076230F"/>
    <w:rsid w:val="007639BE"/>
    <w:rsid w:val="00763AE8"/>
    <w:rsid w:val="0076463C"/>
    <w:rsid w:val="00765C12"/>
    <w:rsid w:val="00766D96"/>
    <w:rsid w:val="00767BD9"/>
    <w:rsid w:val="00770467"/>
    <w:rsid w:val="00770A6D"/>
    <w:rsid w:val="0077217F"/>
    <w:rsid w:val="0077288B"/>
    <w:rsid w:val="0077354D"/>
    <w:rsid w:val="00775D3A"/>
    <w:rsid w:val="00777103"/>
    <w:rsid w:val="00780289"/>
    <w:rsid w:val="00782A39"/>
    <w:rsid w:val="00782FD5"/>
    <w:rsid w:val="0078374D"/>
    <w:rsid w:val="007845E0"/>
    <w:rsid w:val="00786765"/>
    <w:rsid w:val="00787065"/>
    <w:rsid w:val="0079294D"/>
    <w:rsid w:val="007931A2"/>
    <w:rsid w:val="00793D4F"/>
    <w:rsid w:val="00795089"/>
    <w:rsid w:val="00795EDD"/>
    <w:rsid w:val="00796424"/>
    <w:rsid w:val="00796A15"/>
    <w:rsid w:val="00796ABF"/>
    <w:rsid w:val="00797092"/>
    <w:rsid w:val="007A1F39"/>
    <w:rsid w:val="007A2963"/>
    <w:rsid w:val="007A5E82"/>
    <w:rsid w:val="007A5ECA"/>
    <w:rsid w:val="007A6005"/>
    <w:rsid w:val="007A6EC8"/>
    <w:rsid w:val="007A7B5F"/>
    <w:rsid w:val="007B06C6"/>
    <w:rsid w:val="007B105D"/>
    <w:rsid w:val="007B1BB0"/>
    <w:rsid w:val="007B2624"/>
    <w:rsid w:val="007B278D"/>
    <w:rsid w:val="007B3646"/>
    <w:rsid w:val="007B47F2"/>
    <w:rsid w:val="007B5275"/>
    <w:rsid w:val="007B6797"/>
    <w:rsid w:val="007B6F00"/>
    <w:rsid w:val="007B70C4"/>
    <w:rsid w:val="007B784C"/>
    <w:rsid w:val="007B7C63"/>
    <w:rsid w:val="007B7F8C"/>
    <w:rsid w:val="007C11A7"/>
    <w:rsid w:val="007C152B"/>
    <w:rsid w:val="007C157E"/>
    <w:rsid w:val="007C2046"/>
    <w:rsid w:val="007C28A3"/>
    <w:rsid w:val="007C3399"/>
    <w:rsid w:val="007C5535"/>
    <w:rsid w:val="007C5D40"/>
    <w:rsid w:val="007C61B4"/>
    <w:rsid w:val="007C676A"/>
    <w:rsid w:val="007C69D8"/>
    <w:rsid w:val="007C7072"/>
    <w:rsid w:val="007D1CF0"/>
    <w:rsid w:val="007D2155"/>
    <w:rsid w:val="007D2924"/>
    <w:rsid w:val="007D35E5"/>
    <w:rsid w:val="007D36F3"/>
    <w:rsid w:val="007D45FF"/>
    <w:rsid w:val="007D6A8A"/>
    <w:rsid w:val="007D7613"/>
    <w:rsid w:val="007D77CF"/>
    <w:rsid w:val="007E05E2"/>
    <w:rsid w:val="007E1D09"/>
    <w:rsid w:val="007E21CC"/>
    <w:rsid w:val="007E2893"/>
    <w:rsid w:val="007E3974"/>
    <w:rsid w:val="007E52A5"/>
    <w:rsid w:val="007E61A5"/>
    <w:rsid w:val="007E754C"/>
    <w:rsid w:val="007E766D"/>
    <w:rsid w:val="007F086C"/>
    <w:rsid w:val="007F2BF7"/>
    <w:rsid w:val="007F2D66"/>
    <w:rsid w:val="007F3BFD"/>
    <w:rsid w:val="007F3DEA"/>
    <w:rsid w:val="007F508E"/>
    <w:rsid w:val="007F50A8"/>
    <w:rsid w:val="007F57C6"/>
    <w:rsid w:val="007F5826"/>
    <w:rsid w:val="007F5D2C"/>
    <w:rsid w:val="007F6595"/>
    <w:rsid w:val="007F7404"/>
    <w:rsid w:val="007F75D2"/>
    <w:rsid w:val="00800A1E"/>
    <w:rsid w:val="00800F93"/>
    <w:rsid w:val="00804146"/>
    <w:rsid w:val="00804AB7"/>
    <w:rsid w:val="008051C3"/>
    <w:rsid w:val="008052A4"/>
    <w:rsid w:val="008052DF"/>
    <w:rsid w:val="008058DA"/>
    <w:rsid w:val="008069D2"/>
    <w:rsid w:val="00812BA1"/>
    <w:rsid w:val="00812BFB"/>
    <w:rsid w:val="008131B4"/>
    <w:rsid w:val="00813D72"/>
    <w:rsid w:val="00817133"/>
    <w:rsid w:val="00821C57"/>
    <w:rsid w:val="00822166"/>
    <w:rsid w:val="00822CE8"/>
    <w:rsid w:val="00823034"/>
    <w:rsid w:val="008230D7"/>
    <w:rsid w:val="00823743"/>
    <w:rsid w:val="00824ED9"/>
    <w:rsid w:val="0082589D"/>
    <w:rsid w:val="00825FBF"/>
    <w:rsid w:val="008320BE"/>
    <w:rsid w:val="008333EA"/>
    <w:rsid w:val="00833CD1"/>
    <w:rsid w:val="00836B1D"/>
    <w:rsid w:val="00840121"/>
    <w:rsid w:val="00840471"/>
    <w:rsid w:val="0084363B"/>
    <w:rsid w:val="00845A53"/>
    <w:rsid w:val="00846137"/>
    <w:rsid w:val="00846E2F"/>
    <w:rsid w:val="00850227"/>
    <w:rsid w:val="00851E7C"/>
    <w:rsid w:val="00853458"/>
    <w:rsid w:val="00853A3B"/>
    <w:rsid w:val="00854F89"/>
    <w:rsid w:val="00855574"/>
    <w:rsid w:val="00856DF0"/>
    <w:rsid w:val="0085717B"/>
    <w:rsid w:val="008604C9"/>
    <w:rsid w:val="00860DE7"/>
    <w:rsid w:val="008662A8"/>
    <w:rsid w:val="00867624"/>
    <w:rsid w:val="00870CFD"/>
    <w:rsid w:val="00870DB1"/>
    <w:rsid w:val="00872E0D"/>
    <w:rsid w:val="00873EFF"/>
    <w:rsid w:val="00874E58"/>
    <w:rsid w:val="00875735"/>
    <w:rsid w:val="00875A69"/>
    <w:rsid w:val="00875E6F"/>
    <w:rsid w:val="0087625F"/>
    <w:rsid w:val="008765D9"/>
    <w:rsid w:val="00877253"/>
    <w:rsid w:val="00877472"/>
    <w:rsid w:val="00877F28"/>
    <w:rsid w:val="00877F48"/>
    <w:rsid w:val="00880A10"/>
    <w:rsid w:val="00881423"/>
    <w:rsid w:val="0088321D"/>
    <w:rsid w:val="0088397A"/>
    <w:rsid w:val="00884267"/>
    <w:rsid w:val="00884C67"/>
    <w:rsid w:val="00885A82"/>
    <w:rsid w:val="00885D76"/>
    <w:rsid w:val="0088623B"/>
    <w:rsid w:val="0088672F"/>
    <w:rsid w:val="00886E9F"/>
    <w:rsid w:val="0088706B"/>
    <w:rsid w:val="0088789A"/>
    <w:rsid w:val="00887947"/>
    <w:rsid w:val="0089053D"/>
    <w:rsid w:val="00891D95"/>
    <w:rsid w:val="008933AB"/>
    <w:rsid w:val="00897A03"/>
    <w:rsid w:val="008A00BF"/>
    <w:rsid w:val="008A1445"/>
    <w:rsid w:val="008A21C5"/>
    <w:rsid w:val="008A2D3E"/>
    <w:rsid w:val="008A3BA3"/>
    <w:rsid w:val="008A415C"/>
    <w:rsid w:val="008A5081"/>
    <w:rsid w:val="008B0E5B"/>
    <w:rsid w:val="008B179E"/>
    <w:rsid w:val="008B1C9B"/>
    <w:rsid w:val="008B3016"/>
    <w:rsid w:val="008B3A54"/>
    <w:rsid w:val="008B3A9C"/>
    <w:rsid w:val="008B3E93"/>
    <w:rsid w:val="008B4C9A"/>
    <w:rsid w:val="008B5004"/>
    <w:rsid w:val="008B6E7C"/>
    <w:rsid w:val="008B7357"/>
    <w:rsid w:val="008B799B"/>
    <w:rsid w:val="008C3315"/>
    <w:rsid w:val="008C3943"/>
    <w:rsid w:val="008C396C"/>
    <w:rsid w:val="008C4C0F"/>
    <w:rsid w:val="008C6B06"/>
    <w:rsid w:val="008D13EB"/>
    <w:rsid w:val="008D5C27"/>
    <w:rsid w:val="008E0585"/>
    <w:rsid w:val="008E0881"/>
    <w:rsid w:val="008E176C"/>
    <w:rsid w:val="008E4AB6"/>
    <w:rsid w:val="008E684B"/>
    <w:rsid w:val="008E6AB7"/>
    <w:rsid w:val="008E6EF5"/>
    <w:rsid w:val="008E70C9"/>
    <w:rsid w:val="008F03B0"/>
    <w:rsid w:val="008F1441"/>
    <w:rsid w:val="008F1754"/>
    <w:rsid w:val="008F1B23"/>
    <w:rsid w:val="008F1FE8"/>
    <w:rsid w:val="008F25FA"/>
    <w:rsid w:val="008F2E66"/>
    <w:rsid w:val="008F30A9"/>
    <w:rsid w:val="008F471D"/>
    <w:rsid w:val="008F6075"/>
    <w:rsid w:val="008F7CE5"/>
    <w:rsid w:val="0090193B"/>
    <w:rsid w:val="00903583"/>
    <w:rsid w:val="0090370D"/>
    <w:rsid w:val="0090540A"/>
    <w:rsid w:val="0090595D"/>
    <w:rsid w:val="00905974"/>
    <w:rsid w:val="00910A78"/>
    <w:rsid w:val="0091175D"/>
    <w:rsid w:val="00912432"/>
    <w:rsid w:val="0091447E"/>
    <w:rsid w:val="00914781"/>
    <w:rsid w:val="009153B0"/>
    <w:rsid w:val="009161CE"/>
    <w:rsid w:val="0091665C"/>
    <w:rsid w:val="00917745"/>
    <w:rsid w:val="0091774E"/>
    <w:rsid w:val="00917EC0"/>
    <w:rsid w:val="009200E9"/>
    <w:rsid w:val="0092037B"/>
    <w:rsid w:val="00920811"/>
    <w:rsid w:val="0092383F"/>
    <w:rsid w:val="00924566"/>
    <w:rsid w:val="00924964"/>
    <w:rsid w:val="00925993"/>
    <w:rsid w:val="00925C29"/>
    <w:rsid w:val="00926EE2"/>
    <w:rsid w:val="0093011F"/>
    <w:rsid w:val="00930662"/>
    <w:rsid w:val="00930D40"/>
    <w:rsid w:val="009324EB"/>
    <w:rsid w:val="00932827"/>
    <w:rsid w:val="00933226"/>
    <w:rsid w:val="00933B37"/>
    <w:rsid w:val="00934055"/>
    <w:rsid w:val="00936ABF"/>
    <w:rsid w:val="00936BAB"/>
    <w:rsid w:val="00940EB5"/>
    <w:rsid w:val="00941744"/>
    <w:rsid w:val="00941ADA"/>
    <w:rsid w:val="00941EA3"/>
    <w:rsid w:val="009425D1"/>
    <w:rsid w:val="009439C3"/>
    <w:rsid w:val="00944BCB"/>
    <w:rsid w:val="00945689"/>
    <w:rsid w:val="00946208"/>
    <w:rsid w:val="00947C44"/>
    <w:rsid w:val="00947DCF"/>
    <w:rsid w:val="00951643"/>
    <w:rsid w:val="00953D97"/>
    <w:rsid w:val="00955BC4"/>
    <w:rsid w:val="009569BA"/>
    <w:rsid w:val="00956A57"/>
    <w:rsid w:val="009571DB"/>
    <w:rsid w:val="00957E9E"/>
    <w:rsid w:val="0096041D"/>
    <w:rsid w:val="00960573"/>
    <w:rsid w:val="00961F83"/>
    <w:rsid w:val="00963708"/>
    <w:rsid w:val="009656A6"/>
    <w:rsid w:val="00966260"/>
    <w:rsid w:val="00967406"/>
    <w:rsid w:val="00971E00"/>
    <w:rsid w:val="0097270B"/>
    <w:rsid w:val="00972777"/>
    <w:rsid w:val="00972BD5"/>
    <w:rsid w:val="009738D3"/>
    <w:rsid w:val="0097498A"/>
    <w:rsid w:val="00974DF7"/>
    <w:rsid w:val="00976102"/>
    <w:rsid w:val="009763FB"/>
    <w:rsid w:val="00977848"/>
    <w:rsid w:val="0098148E"/>
    <w:rsid w:val="00981DEA"/>
    <w:rsid w:val="00985534"/>
    <w:rsid w:val="00985F3C"/>
    <w:rsid w:val="0098605A"/>
    <w:rsid w:val="00986B14"/>
    <w:rsid w:val="00987220"/>
    <w:rsid w:val="0098747B"/>
    <w:rsid w:val="00987FAA"/>
    <w:rsid w:val="009920C3"/>
    <w:rsid w:val="0099280D"/>
    <w:rsid w:val="009928BB"/>
    <w:rsid w:val="00992E26"/>
    <w:rsid w:val="00993736"/>
    <w:rsid w:val="00996A25"/>
    <w:rsid w:val="0099755F"/>
    <w:rsid w:val="009A05B6"/>
    <w:rsid w:val="009A080B"/>
    <w:rsid w:val="009A0CE1"/>
    <w:rsid w:val="009A19BD"/>
    <w:rsid w:val="009A1F07"/>
    <w:rsid w:val="009A27DE"/>
    <w:rsid w:val="009A3032"/>
    <w:rsid w:val="009A32B7"/>
    <w:rsid w:val="009A32C7"/>
    <w:rsid w:val="009A4896"/>
    <w:rsid w:val="009B0E38"/>
    <w:rsid w:val="009B2202"/>
    <w:rsid w:val="009B3F6C"/>
    <w:rsid w:val="009B4A5D"/>
    <w:rsid w:val="009B53C6"/>
    <w:rsid w:val="009B5B17"/>
    <w:rsid w:val="009B5BC3"/>
    <w:rsid w:val="009B66EF"/>
    <w:rsid w:val="009B7782"/>
    <w:rsid w:val="009C0B86"/>
    <w:rsid w:val="009C11F4"/>
    <w:rsid w:val="009C15BC"/>
    <w:rsid w:val="009C1BDC"/>
    <w:rsid w:val="009C47EB"/>
    <w:rsid w:val="009C6459"/>
    <w:rsid w:val="009C77F2"/>
    <w:rsid w:val="009D00C3"/>
    <w:rsid w:val="009D049E"/>
    <w:rsid w:val="009D0E58"/>
    <w:rsid w:val="009D2F82"/>
    <w:rsid w:val="009D7DC2"/>
    <w:rsid w:val="009E0E01"/>
    <w:rsid w:val="009E0E2A"/>
    <w:rsid w:val="009E158B"/>
    <w:rsid w:val="009E1623"/>
    <w:rsid w:val="009E35F3"/>
    <w:rsid w:val="009E67CB"/>
    <w:rsid w:val="009F00A5"/>
    <w:rsid w:val="009F1CF6"/>
    <w:rsid w:val="009F4A32"/>
    <w:rsid w:val="009F71B0"/>
    <w:rsid w:val="00A00E87"/>
    <w:rsid w:val="00A010B5"/>
    <w:rsid w:val="00A03786"/>
    <w:rsid w:val="00A03926"/>
    <w:rsid w:val="00A03ED5"/>
    <w:rsid w:val="00A04061"/>
    <w:rsid w:val="00A0641C"/>
    <w:rsid w:val="00A06CE7"/>
    <w:rsid w:val="00A072CC"/>
    <w:rsid w:val="00A10157"/>
    <w:rsid w:val="00A1060C"/>
    <w:rsid w:val="00A10B1A"/>
    <w:rsid w:val="00A11AA2"/>
    <w:rsid w:val="00A11C67"/>
    <w:rsid w:val="00A1303D"/>
    <w:rsid w:val="00A13DB3"/>
    <w:rsid w:val="00A14721"/>
    <w:rsid w:val="00A148D9"/>
    <w:rsid w:val="00A1671D"/>
    <w:rsid w:val="00A16DE0"/>
    <w:rsid w:val="00A17650"/>
    <w:rsid w:val="00A17857"/>
    <w:rsid w:val="00A206FE"/>
    <w:rsid w:val="00A209C7"/>
    <w:rsid w:val="00A20F48"/>
    <w:rsid w:val="00A214E5"/>
    <w:rsid w:val="00A21DD0"/>
    <w:rsid w:val="00A22020"/>
    <w:rsid w:val="00A22216"/>
    <w:rsid w:val="00A240FF"/>
    <w:rsid w:val="00A24465"/>
    <w:rsid w:val="00A2494B"/>
    <w:rsid w:val="00A27178"/>
    <w:rsid w:val="00A273CE"/>
    <w:rsid w:val="00A30EDE"/>
    <w:rsid w:val="00A3155D"/>
    <w:rsid w:val="00A32208"/>
    <w:rsid w:val="00A35F5C"/>
    <w:rsid w:val="00A367E6"/>
    <w:rsid w:val="00A374FC"/>
    <w:rsid w:val="00A4115B"/>
    <w:rsid w:val="00A4220D"/>
    <w:rsid w:val="00A4281E"/>
    <w:rsid w:val="00A4340C"/>
    <w:rsid w:val="00A43F86"/>
    <w:rsid w:val="00A44892"/>
    <w:rsid w:val="00A448BA"/>
    <w:rsid w:val="00A44914"/>
    <w:rsid w:val="00A44D44"/>
    <w:rsid w:val="00A46940"/>
    <w:rsid w:val="00A50A31"/>
    <w:rsid w:val="00A51077"/>
    <w:rsid w:val="00A52A6E"/>
    <w:rsid w:val="00A53216"/>
    <w:rsid w:val="00A54DBB"/>
    <w:rsid w:val="00A553E9"/>
    <w:rsid w:val="00A55AE3"/>
    <w:rsid w:val="00A57782"/>
    <w:rsid w:val="00A57FC8"/>
    <w:rsid w:val="00A60C6B"/>
    <w:rsid w:val="00A61CF9"/>
    <w:rsid w:val="00A62F66"/>
    <w:rsid w:val="00A6300E"/>
    <w:rsid w:val="00A64AE5"/>
    <w:rsid w:val="00A65BF3"/>
    <w:rsid w:val="00A7047C"/>
    <w:rsid w:val="00A72B59"/>
    <w:rsid w:val="00A73D72"/>
    <w:rsid w:val="00A73F09"/>
    <w:rsid w:val="00A74066"/>
    <w:rsid w:val="00A745BC"/>
    <w:rsid w:val="00A754EB"/>
    <w:rsid w:val="00A77179"/>
    <w:rsid w:val="00A8093A"/>
    <w:rsid w:val="00A82F0E"/>
    <w:rsid w:val="00A83C1A"/>
    <w:rsid w:val="00A843B7"/>
    <w:rsid w:val="00A84E54"/>
    <w:rsid w:val="00A8552D"/>
    <w:rsid w:val="00A865CE"/>
    <w:rsid w:val="00A86C91"/>
    <w:rsid w:val="00A87826"/>
    <w:rsid w:val="00A87B93"/>
    <w:rsid w:val="00A9118A"/>
    <w:rsid w:val="00A91526"/>
    <w:rsid w:val="00A92AD1"/>
    <w:rsid w:val="00A93739"/>
    <w:rsid w:val="00A964B8"/>
    <w:rsid w:val="00A97818"/>
    <w:rsid w:val="00A97848"/>
    <w:rsid w:val="00AA0101"/>
    <w:rsid w:val="00AA1E0E"/>
    <w:rsid w:val="00AA20CA"/>
    <w:rsid w:val="00AA3890"/>
    <w:rsid w:val="00AA3B9F"/>
    <w:rsid w:val="00AA4CB9"/>
    <w:rsid w:val="00AA4EB5"/>
    <w:rsid w:val="00AA50D0"/>
    <w:rsid w:val="00AA6437"/>
    <w:rsid w:val="00AA6C74"/>
    <w:rsid w:val="00AB0590"/>
    <w:rsid w:val="00AB2CF1"/>
    <w:rsid w:val="00AB31AC"/>
    <w:rsid w:val="00AB4028"/>
    <w:rsid w:val="00AB52CE"/>
    <w:rsid w:val="00AB7028"/>
    <w:rsid w:val="00AB7390"/>
    <w:rsid w:val="00AB7A01"/>
    <w:rsid w:val="00AC0047"/>
    <w:rsid w:val="00AC3383"/>
    <w:rsid w:val="00AC43FD"/>
    <w:rsid w:val="00AC630A"/>
    <w:rsid w:val="00AC7F2B"/>
    <w:rsid w:val="00AD0BEF"/>
    <w:rsid w:val="00AD27A3"/>
    <w:rsid w:val="00AD4B21"/>
    <w:rsid w:val="00AD65B8"/>
    <w:rsid w:val="00AD6984"/>
    <w:rsid w:val="00AE09D2"/>
    <w:rsid w:val="00AE270D"/>
    <w:rsid w:val="00AE2F32"/>
    <w:rsid w:val="00AF12DE"/>
    <w:rsid w:val="00AF1EE9"/>
    <w:rsid w:val="00AF2C6A"/>
    <w:rsid w:val="00AF3E93"/>
    <w:rsid w:val="00AF4A28"/>
    <w:rsid w:val="00AF69B7"/>
    <w:rsid w:val="00AF6CD7"/>
    <w:rsid w:val="00AF7CC8"/>
    <w:rsid w:val="00B0165C"/>
    <w:rsid w:val="00B01E1E"/>
    <w:rsid w:val="00B03094"/>
    <w:rsid w:val="00B054D3"/>
    <w:rsid w:val="00B05916"/>
    <w:rsid w:val="00B06D7C"/>
    <w:rsid w:val="00B10412"/>
    <w:rsid w:val="00B107F4"/>
    <w:rsid w:val="00B10F14"/>
    <w:rsid w:val="00B12659"/>
    <w:rsid w:val="00B12E9D"/>
    <w:rsid w:val="00B1554E"/>
    <w:rsid w:val="00B156E3"/>
    <w:rsid w:val="00B1576B"/>
    <w:rsid w:val="00B1639D"/>
    <w:rsid w:val="00B1772B"/>
    <w:rsid w:val="00B17ABB"/>
    <w:rsid w:val="00B20EC1"/>
    <w:rsid w:val="00B2145A"/>
    <w:rsid w:val="00B21FE3"/>
    <w:rsid w:val="00B224E6"/>
    <w:rsid w:val="00B22776"/>
    <w:rsid w:val="00B230FC"/>
    <w:rsid w:val="00B23642"/>
    <w:rsid w:val="00B23C8C"/>
    <w:rsid w:val="00B30C1F"/>
    <w:rsid w:val="00B30EB1"/>
    <w:rsid w:val="00B31DF9"/>
    <w:rsid w:val="00B31EEF"/>
    <w:rsid w:val="00B337E0"/>
    <w:rsid w:val="00B346AE"/>
    <w:rsid w:val="00B35F02"/>
    <w:rsid w:val="00B36679"/>
    <w:rsid w:val="00B36DCD"/>
    <w:rsid w:val="00B401EE"/>
    <w:rsid w:val="00B41C33"/>
    <w:rsid w:val="00B426C3"/>
    <w:rsid w:val="00B4355D"/>
    <w:rsid w:val="00B43F20"/>
    <w:rsid w:val="00B44317"/>
    <w:rsid w:val="00B44768"/>
    <w:rsid w:val="00B45958"/>
    <w:rsid w:val="00B46251"/>
    <w:rsid w:val="00B46A91"/>
    <w:rsid w:val="00B4744D"/>
    <w:rsid w:val="00B476B4"/>
    <w:rsid w:val="00B4789B"/>
    <w:rsid w:val="00B51C49"/>
    <w:rsid w:val="00B51E40"/>
    <w:rsid w:val="00B5280F"/>
    <w:rsid w:val="00B529DB"/>
    <w:rsid w:val="00B539BE"/>
    <w:rsid w:val="00B559B9"/>
    <w:rsid w:val="00B55B0F"/>
    <w:rsid w:val="00B55BE1"/>
    <w:rsid w:val="00B55DCA"/>
    <w:rsid w:val="00B56FE1"/>
    <w:rsid w:val="00B57373"/>
    <w:rsid w:val="00B60126"/>
    <w:rsid w:val="00B62445"/>
    <w:rsid w:val="00B6301D"/>
    <w:rsid w:val="00B631C4"/>
    <w:rsid w:val="00B63628"/>
    <w:rsid w:val="00B651D4"/>
    <w:rsid w:val="00B66797"/>
    <w:rsid w:val="00B731DD"/>
    <w:rsid w:val="00B73403"/>
    <w:rsid w:val="00B74353"/>
    <w:rsid w:val="00B76026"/>
    <w:rsid w:val="00B77F33"/>
    <w:rsid w:val="00B805D4"/>
    <w:rsid w:val="00B80E5A"/>
    <w:rsid w:val="00B81062"/>
    <w:rsid w:val="00B85F8A"/>
    <w:rsid w:val="00B86C16"/>
    <w:rsid w:val="00B91E02"/>
    <w:rsid w:val="00B92466"/>
    <w:rsid w:val="00B927E3"/>
    <w:rsid w:val="00B9414B"/>
    <w:rsid w:val="00B94777"/>
    <w:rsid w:val="00B95643"/>
    <w:rsid w:val="00B95B8F"/>
    <w:rsid w:val="00B95D34"/>
    <w:rsid w:val="00B96052"/>
    <w:rsid w:val="00B9686D"/>
    <w:rsid w:val="00B97410"/>
    <w:rsid w:val="00B979A3"/>
    <w:rsid w:val="00BA03CE"/>
    <w:rsid w:val="00BA05B0"/>
    <w:rsid w:val="00BA08DE"/>
    <w:rsid w:val="00BA32A3"/>
    <w:rsid w:val="00BA371E"/>
    <w:rsid w:val="00BA3B99"/>
    <w:rsid w:val="00BA517E"/>
    <w:rsid w:val="00BA537A"/>
    <w:rsid w:val="00BA70F2"/>
    <w:rsid w:val="00BB2CF3"/>
    <w:rsid w:val="00BB334D"/>
    <w:rsid w:val="00BB3B84"/>
    <w:rsid w:val="00BB5D7C"/>
    <w:rsid w:val="00BB6DDD"/>
    <w:rsid w:val="00BC03B1"/>
    <w:rsid w:val="00BC060E"/>
    <w:rsid w:val="00BC1D30"/>
    <w:rsid w:val="00BC235D"/>
    <w:rsid w:val="00BC28E2"/>
    <w:rsid w:val="00BC28F4"/>
    <w:rsid w:val="00BC2C3B"/>
    <w:rsid w:val="00BC5E73"/>
    <w:rsid w:val="00BC7302"/>
    <w:rsid w:val="00BD06CF"/>
    <w:rsid w:val="00BD3618"/>
    <w:rsid w:val="00BD3831"/>
    <w:rsid w:val="00BD6ECC"/>
    <w:rsid w:val="00BE0366"/>
    <w:rsid w:val="00BE0FF5"/>
    <w:rsid w:val="00BE2007"/>
    <w:rsid w:val="00BE2B94"/>
    <w:rsid w:val="00BE2FF6"/>
    <w:rsid w:val="00BE3573"/>
    <w:rsid w:val="00BE35BD"/>
    <w:rsid w:val="00BE54AF"/>
    <w:rsid w:val="00BE6191"/>
    <w:rsid w:val="00BE68F6"/>
    <w:rsid w:val="00BE7508"/>
    <w:rsid w:val="00BE78CD"/>
    <w:rsid w:val="00BF0C06"/>
    <w:rsid w:val="00BF0CAE"/>
    <w:rsid w:val="00BF5711"/>
    <w:rsid w:val="00BF5CFA"/>
    <w:rsid w:val="00C000EC"/>
    <w:rsid w:val="00C00C7D"/>
    <w:rsid w:val="00C01778"/>
    <w:rsid w:val="00C01A85"/>
    <w:rsid w:val="00C01F79"/>
    <w:rsid w:val="00C02F8D"/>
    <w:rsid w:val="00C03356"/>
    <w:rsid w:val="00C04909"/>
    <w:rsid w:val="00C05D64"/>
    <w:rsid w:val="00C062A5"/>
    <w:rsid w:val="00C07D36"/>
    <w:rsid w:val="00C1247B"/>
    <w:rsid w:val="00C1289A"/>
    <w:rsid w:val="00C12FD1"/>
    <w:rsid w:val="00C13245"/>
    <w:rsid w:val="00C13340"/>
    <w:rsid w:val="00C143EE"/>
    <w:rsid w:val="00C15BD5"/>
    <w:rsid w:val="00C17780"/>
    <w:rsid w:val="00C17D4A"/>
    <w:rsid w:val="00C22F52"/>
    <w:rsid w:val="00C254E5"/>
    <w:rsid w:val="00C30106"/>
    <w:rsid w:val="00C308B8"/>
    <w:rsid w:val="00C331F5"/>
    <w:rsid w:val="00C33816"/>
    <w:rsid w:val="00C33F61"/>
    <w:rsid w:val="00C35C32"/>
    <w:rsid w:val="00C367C6"/>
    <w:rsid w:val="00C3687F"/>
    <w:rsid w:val="00C36D30"/>
    <w:rsid w:val="00C3724B"/>
    <w:rsid w:val="00C37878"/>
    <w:rsid w:val="00C3791A"/>
    <w:rsid w:val="00C40181"/>
    <w:rsid w:val="00C40710"/>
    <w:rsid w:val="00C412DC"/>
    <w:rsid w:val="00C446EC"/>
    <w:rsid w:val="00C4484F"/>
    <w:rsid w:val="00C450FB"/>
    <w:rsid w:val="00C47946"/>
    <w:rsid w:val="00C501DE"/>
    <w:rsid w:val="00C50B8D"/>
    <w:rsid w:val="00C5234E"/>
    <w:rsid w:val="00C528B5"/>
    <w:rsid w:val="00C53082"/>
    <w:rsid w:val="00C55C52"/>
    <w:rsid w:val="00C5640E"/>
    <w:rsid w:val="00C57243"/>
    <w:rsid w:val="00C61F46"/>
    <w:rsid w:val="00C620B6"/>
    <w:rsid w:val="00C620FA"/>
    <w:rsid w:val="00C623F7"/>
    <w:rsid w:val="00C627C6"/>
    <w:rsid w:val="00C63D4E"/>
    <w:rsid w:val="00C64B20"/>
    <w:rsid w:val="00C650B9"/>
    <w:rsid w:val="00C711B5"/>
    <w:rsid w:val="00C711D6"/>
    <w:rsid w:val="00C7462B"/>
    <w:rsid w:val="00C77121"/>
    <w:rsid w:val="00C77367"/>
    <w:rsid w:val="00C77851"/>
    <w:rsid w:val="00C81DB3"/>
    <w:rsid w:val="00C82369"/>
    <w:rsid w:val="00C842EA"/>
    <w:rsid w:val="00C85C5D"/>
    <w:rsid w:val="00C85DEA"/>
    <w:rsid w:val="00C87607"/>
    <w:rsid w:val="00C87645"/>
    <w:rsid w:val="00C90F31"/>
    <w:rsid w:val="00C91537"/>
    <w:rsid w:val="00C91658"/>
    <w:rsid w:val="00C92969"/>
    <w:rsid w:val="00C92B1B"/>
    <w:rsid w:val="00C9379C"/>
    <w:rsid w:val="00C93AD6"/>
    <w:rsid w:val="00C94012"/>
    <w:rsid w:val="00C9429C"/>
    <w:rsid w:val="00C947BB"/>
    <w:rsid w:val="00C952F6"/>
    <w:rsid w:val="00C95317"/>
    <w:rsid w:val="00C9541E"/>
    <w:rsid w:val="00C95A86"/>
    <w:rsid w:val="00C97654"/>
    <w:rsid w:val="00C97A5C"/>
    <w:rsid w:val="00C97B35"/>
    <w:rsid w:val="00CA0478"/>
    <w:rsid w:val="00CA04C4"/>
    <w:rsid w:val="00CA1116"/>
    <w:rsid w:val="00CA31B0"/>
    <w:rsid w:val="00CA479E"/>
    <w:rsid w:val="00CA679E"/>
    <w:rsid w:val="00CA67D5"/>
    <w:rsid w:val="00CA6A4C"/>
    <w:rsid w:val="00CA6D7E"/>
    <w:rsid w:val="00CB1822"/>
    <w:rsid w:val="00CB2A34"/>
    <w:rsid w:val="00CB3F41"/>
    <w:rsid w:val="00CB44F0"/>
    <w:rsid w:val="00CB4FF4"/>
    <w:rsid w:val="00CB504D"/>
    <w:rsid w:val="00CB5D0D"/>
    <w:rsid w:val="00CB69B4"/>
    <w:rsid w:val="00CB6DA4"/>
    <w:rsid w:val="00CB7EF1"/>
    <w:rsid w:val="00CC0D2C"/>
    <w:rsid w:val="00CC12C4"/>
    <w:rsid w:val="00CC16E1"/>
    <w:rsid w:val="00CC481D"/>
    <w:rsid w:val="00CC5195"/>
    <w:rsid w:val="00CC529F"/>
    <w:rsid w:val="00CC55C3"/>
    <w:rsid w:val="00CC627E"/>
    <w:rsid w:val="00CC6815"/>
    <w:rsid w:val="00CC6944"/>
    <w:rsid w:val="00CC6D5B"/>
    <w:rsid w:val="00CD03A7"/>
    <w:rsid w:val="00CD0C47"/>
    <w:rsid w:val="00CD0D27"/>
    <w:rsid w:val="00CD1544"/>
    <w:rsid w:val="00CD2562"/>
    <w:rsid w:val="00CD2D6A"/>
    <w:rsid w:val="00CD3444"/>
    <w:rsid w:val="00CD4D50"/>
    <w:rsid w:val="00CD590D"/>
    <w:rsid w:val="00CD6EA6"/>
    <w:rsid w:val="00CD7023"/>
    <w:rsid w:val="00CE0DCF"/>
    <w:rsid w:val="00CE10AE"/>
    <w:rsid w:val="00CE3D8D"/>
    <w:rsid w:val="00CE52E9"/>
    <w:rsid w:val="00CE6D4B"/>
    <w:rsid w:val="00CF172D"/>
    <w:rsid w:val="00CF1A2E"/>
    <w:rsid w:val="00CF3B9B"/>
    <w:rsid w:val="00CF4B74"/>
    <w:rsid w:val="00CF4BC9"/>
    <w:rsid w:val="00CF5749"/>
    <w:rsid w:val="00CF5A1C"/>
    <w:rsid w:val="00CF7B14"/>
    <w:rsid w:val="00D01384"/>
    <w:rsid w:val="00D033E3"/>
    <w:rsid w:val="00D03FF9"/>
    <w:rsid w:val="00D07129"/>
    <w:rsid w:val="00D076C6"/>
    <w:rsid w:val="00D11296"/>
    <w:rsid w:val="00D1164E"/>
    <w:rsid w:val="00D12B7C"/>
    <w:rsid w:val="00D12EE3"/>
    <w:rsid w:val="00D12FE4"/>
    <w:rsid w:val="00D155CE"/>
    <w:rsid w:val="00D17912"/>
    <w:rsid w:val="00D201EF"/>
    <w:rsid w:val="00D20B1A"/>
    <w:rsid w:val="00D20D48"/>
    <w:rsid w:val="00D212C6"/>
    <w:rsid w:val="00D22424"/>
    <w:rsid w:val="00D2415E"/>
    <w:rsid w:val="00D25D18"/>
    <w:rsid w:val="00D26FC3"/>
    <w:rsid w:val="00D31007"/>
    <w:rsid w:val="00D32293"/>
    <w:rsid w:val="00D324E4"/>
    <w:rsid w:val="00D339EB"/>
    <w:rsid w:val="00D33C8C"/>
    <w:rsid w:val="00D34672"/>
    <w:rsid w:val="00D358C0"/>
    <w:rsid w:val="00D36F19"/>
    <w:rsid w:val="00D37A13"/>
    <w:rsid w:val="00D40493"/>
    <w:rsid w:val="00D41B86"/>
    <w:rsid w:val="00D41EBC"/>
    <w:rsid w:val="00D427F1"/>
    <w:rsid w:val="00D44881"/>
    <w:rsid w:val="00D45319"/>
    <w:rsid w:val="00D45BD6"/>
    <w:rsid w:val="00D50E48"/>
    <w:rsid w:val="00D518A6"/>
    <w:rsid w:val="00D5352C"/>
    <w:rsid w:val="00D55496"/>
    <w:rsid w:val="00D554A9"/>
    <w:rsid w:val="00D55A0D"/>
    <w:rsid w:val="00D55AD0"/>
    <w:rsid w:val="00D56D2A"/>
    <w:rsid w:val="00D60873"/>
    <w:rsid w:val="00D609D6"/>
    <w:rsid w:val="00D621ED"/>
    <w:rsid w:val="00D64A57"/>
    <w:rsid w:val="00D65EA2"/>
    <w:rsid w:val="00D660DE"/>
    <w:rsid w:val="00D66C55"/>
    <w:rsid w:val="00D70A67"/>
    <w:rsid w:val="00D71962"/>
    <w:rsid w:val="00D72605"/>
    <w:rsid w:val="00D726FE"/>
    <w:rsid w:val="00D73127"/>
    <w:rsid w:val="00D7339B"/>
    <w:rsid w:val="00D734FE"/>
    <w:rsid w:val="00D73AC1"/>
    <w:rsid w:val="00D74796"/>
    <w:rsid w:val="00D74937"/>
    <w:rsid w:val="00D752A5"/>
    <w:rsid w:val="00D77207"/>
    <w:rsid w:val="00D77518"/>
    <w:rsid w:val="00D80529"/>
    <w:rsid w:val="00D80851"/>
    <w:rsid w:val="00D82FC2"/>
    <w:rsid w:val="00D84CC8"/>
    <w:rsid w:val="00D8657A"/>
    <w:rsid w:val="00D868EF"/>
    <w:rsid w:val="00D904A7"/>
    <w:rsid w:val="00D9208D"/>
    <w:rsid w:val="00D9327A"/>
    <w:rsid w:val="00D951F7"/>
    <w:rsid w:val="00D9528F"/>
    <w:rsid w:val="00D96375"/>
    <w:rsid w:val="00D968D1"/>
    <w:rsid w:val="00D970A1"/>
    <w:rsid w:val="00D97315"/>
    <w:rsid w:val="00D9799F"/>
    <w:rsid w:val="00DA0092"/>
    <w:rsid w:val="00DA015B"/>
    <w:rsid w:val="00DA0DBB"/>
    <w:rsid w:val="00DA1ABF"/>
    <w:rsid w:val="00DA2AC1"/>
    <w:rsid w:val="00DA3446"/>
    <w:rsid w:val="00DA3E5A"/>
    <w:rsid w:val="00DA522C"/>
    <w:rsid w:val="00DA5C1A"/>
    <w:rsid w:val="00DA6011"/>
    <w:rsid w:val="00DB0BF0"/>
    <w:rsid w:val="00DB10C4"/>
    <w:rsid w:val="00DB1264"/>
    <w:rsid w:val="00DB1308"/>
    <w:rsid w:val="00DB2DE8"/>
    <w:rsid w:val="00DB40DE"/>
    <w:rsid w:val="00DB4E15"/>
    <w:rsid w:val="00DB58F0"/>
    <w:rsid w:val="00DB59CC"/>
    <w:rsid w:val="00DB5D7C"/>
    <w:rsid w:val="00DB6095"/>
    <w:rsid w:val="00DC038B"/>
    <w:rsid w:val="00DC0EB7"/>
    <w:rsid w:val="00DC17BE"/>
    <w:rsid w:val="00DC2D96"/>
    <w:rsid w:val="00DC2EE9"/>
    <w:rsid w:val="00DC373A"/>
    <w:rsid w:val="00DC3BB6"/>
    <w:rsid w:val="00DD171D"/>
    <w:rsid w:val="00DD2977"/>
    <w:rsid w:val="00DD3553"/>
    <w:rsid w:val="00DD36DB"/>
    <w:rsid w:val="00DD38B5"/>
    <w:rsid w:val="00DD46CE"/>
    <w:rsid w:val="00DD5439"/>
    <w:rsid w:val="00DD54BA"/>
    <w:rsid w:val="00DD56AE"/>
    <w:rsid w:val="00DD5CEF"/>
    <w:rsid w:val="00DD67FC"/>
    <w:rsid w:val="00DD7822"/>
    <w:rsid w:val="00DD79CD"/>
    <w:rsid w:val="00DD7AA5"/>
    <w:rsid w:val="00DE2A91"/>
    <w:rsid w:val="00DE55E3"/>
    <w:rsid w:val="00DE626B"/>
    <w:rsid w:val="00DE6981"/>
    <w:rsid w:val="00DE74C8"/>
    <w:rsid w:val="00DE7C8F"/>
    <w:rsid w:val="00DF086B"/>
    <w:rsid w:val="00DF08AE"/>
    <w:rsid w:val="00DF0E2A"/>
    <w:rsid w:val="00DF3348"/>
    <w:rsid w:val="00DF53CE"/>
    <w:rsid w:val="00DF5B36"/>
    <w:rsid w:val="00DF6A0F"/>
    <w:rsid w:val="00DF70DA"/>
    <w:rsid w:val="00DF74BA"/>
    <w:rsid w:val="00DF7C72"/>
    <w:rsid w:val="00E00762"/>
    <w:rsid w:val="00E01D03"/>
    <w:rsid w:val="00E02045"/>
    <w:rsid w:val="00E04073"/>
    <w:rsid w:val="00E0471C"/>
    <w:rsid w:val="00E0538F"/>
    <w:rsid w:val="00E076C0"/>
    <w:rsid w:val="00E07E4C"/>
    <w:rsid w:val="00E1031F"/>
    <w:rsid w:val="00E104FB"/>
    <w:rsid w:val="00E115CD"/>
    <w:rsid w:val="00E11D9C"/>
    <w:rsid w:val="00E1227C"/>
    <w:rsid w:val="00E15311"/>
    <w:rsid w:val="00E1737A"/>
    <w:rsid w:val="00E20886"/>
    <w:rsid w:val="00E220D6"/>
    <w:rsid w:val="00E255F1"/>
    <w:rsid w:val="00E30073"/>
    <w:rsid w:val="00E306A8"/>
    <w:rsid w:val="00E326A4"/>
    <w:rsid w:val="00E329C0"/>
    <w:rsid w:val="00E33192"/>
    <w:rsid w:val="00E335F4"/>
    <w:rsid w:val="00E33D60"/>
    <w:rsid w:val="00E34DC8"/>
    <w:rsid w:val="00E351BD"/>
    <w:rsid w:val="00E36D6F"/>
    <w:rsid w:val="00E371C5"/>
    <w:rsid w:val="00E406A7"/>
    <w:rsid w:val="00E40CF6"/>
    <w:rsid w:val="00E41202"/>
    <w:rsid w:val="00E4121A"/>
    <w:rsid w:val="00E42E8F"/>
    <w:rsid w:val="00E430CF"/>
    <w:rsid w:val="00E4338F"/>
    <w:rsid w:val="00E439E8"/>
    <w:rsid w:val="00E43FA4"/>
    <w:rsid w:val="00E4487B"/>
    <w:rsid w:val="00E44D92"/>
    <w:rsid w:val="00E46EB0"/>
    <w:rsid w:val="00E47193"/>
    <w:rsid w:val="00E52C37"/>
    <w:rsid w:val="00E53D38"/>
    <w:rsid w:val="00E54237"/>
    <w:rsid w:val="00E5675A"/>
    <w:rsid w:val="00E572F4"/>
    <w:rsid w:val="00E57524"/>
    <w:rsid w:val="00E57838"/>
    <w:rsid w:val="00E60897"/>
    <w:rsid w:val="00E614D9"/>
    <w:rsid w:val="00E6277D"/>
    <w:rsid w:val="00E63B9D"/>
    <w:rsid w:val="00E64B0A"/>
    <w:rsid w:val="00E6577F"/>
    <w:rsid w:val="00E65DC9"/>
    <w:rsid w:val="00E65F1B"/>
    <w:rsid w:val="00E6781F"/>
    <w:rsid w:val="00E7020F"/>
    <w:rsid w:val="00E72EC2"/>
    <w:rsid w:val="00E73EFF"/>
    <w:rsid w:val="00E74730"/>
    <w:rsid w:val="00E77F57"/>
    <w:rsid w:val="00E8101D"/>
    <w:rsid w:val="00E814C5"/>
    <w:rsid w:val="00E815D5"/>
    <w:rsid w:val="00E81ADE"/>
    <w:rsid w:val="00E81B92"/>
    <w:rsid w:val="00E837A5"/>
    <w:rsid w:val="00E8429E"/>
    <w:rsid w:val="00E843F0"/>
    <w:rsid w:val="00E85157"/>
    <w:rsid w:val="00E862E4"/>
    <w:rsid w:val="00E8678C"/>
    <w:rsid w:val="00E90A95"/>
    <w:rsid w:val="00E92209"/>
    <w:rsid w:val="00E92EA5"/>
    <w:rsid w:val="00E93B10"/>
    <w:rsid w:val="00E96863"/>
    <w:rsid w:val="00E976D3"/>
    <w:rsid w:val="00EA06E8"/>
    <w:rsid w:val="00EA16EA"/>
    <w:rsid w:val="00EA1AA9"/>
    <w:rsid w:val="00EA2429"/>
    <w:rsid w:val="00EA3DF2"/>
    <w:rsid w:val="00EA61D5"/>
    <w:rsid w:val="00EA6CAB"/>
    <w:rsid w:val="00EA6EC9"/>
    <w:rsid w:val="00EA782F"/>
    <w:rsid w:val="00EB0310"/>
    <w:rsid w:val="00EB076B"/>
    <w:rsid w:val="00EB1053"/>
    <w:rsid w:val="00EB1D28"/>
    <w:rsid w:val="00EB2E14"/>
    <w:rsid w:val="00EB48C6"/>
    <w:rsid w:val="00EB4AF5"/>
    <w:rsid w:val="00EB5102"/>
    <w:rsid w:val="00EB554C"/>
    <w:rsid w:val="00EB59FE"/>
    <w:rsid w:val="00EB60BF"/>
    <w:rsid w:val="00EB71AB"/>
    <w:rsid w:val="00EB7AA5"/>
    <w:rsid w:val="00EC1FFE"/>
    <w:rsid w:val="00EC56D7"/>
    <w:rsid w:val="00EC7802"/>
    <w:rsid w:val="00ED1E96"/>
    <w:rsid w:val="00ED318F"/>
    <w:rsid w:val="00ED4310"/>
    <w:rsid w:val="00ED4B5C"/>
    <w:rsid w:val="00ED4C79"/>
    <w:rsid w:val="00ED597B"/>
    <w:rsid w:val="00ED61AB"/>
    <w:rsid w:val="00ED6482"/>
    <w:rsid w:val="00ED7D7F"/>
    <w:rsid w:val="00EE3D2C"/>
    <w:rsid w:val="00EE3F16"/>
    <w:rsid w:val="00EE4976"/>
    <w:rsid w:val="00EE4C28"/>
    <w:rsid w:val="00EE540B"/>
    <w:rsid w:val="00EE74B3"/>
    <w:rsid w:val="00EE7527"/>
    <w:rsid w:val="00EE7C1E"/>
    <w:rsid w:val="00EF09E5"/>
    <w:rsid w:val="00EF0BAE"/>
    <w:rsid w:val="00EF0DB8"/>
    <w:rsid w:val="00EF2001"/>
    <w:rsid w:val="00EF33BC"/>
    <w:rsid w:val="00EF3CE1"/>
    <w:rsid w:val="00EF40BC"/>
    <w:rsid w:val="00EF47AF"/>
    <w:rsid w:val="00EF621B"/>
    <w:rsid w:val="00EF656B"/>
    <w:rsid w:val="00EF6A6B"/>
    <w:rsid w:val="00EF75DF"/>
    <w:rsid w:val="00F00B8A"/>
    <w:rsid w:val="00F01269"/>
    <w:rsid w:val="00F02133"/>
    <w:rsid w:val="00F02141"/>
    <w:rsid w:val="00F033CF"/>
    <w:rsid w:val="00F04688"/>
    <w:rsid w:val="00F04DA1"/>
    <w:rsid w:val="00F108F0"/>
    <w:rsid w:val="00F10AC4"/>
    <w:rsid w:val="00F12585"/>
    <w:rsid w:val="00F13398"/>
    <w:rsid w:val="00F1499A"/>
    <w:rsid w:val="00F15496"/>
    <w:rsid w:val="00F15C4E"/>
    <w:rsid w:val="00F1712B"/>
    <w:rsid w:val="00F17E30"/>
    <w:rsid w:val="00F2138E"/>
    <w:rsid w:val="00F22D86"/>
    <w:rsid w:val="00F2367E"/>
    <w:rsid w:val="00F24833"/>
    <w:rsid w:val="00F2492F"/>
    <w:rsid w:val="00F26F33"/>
    <w:rsid w:val="00F3120B"/>
    <w:rsid w:val="00F325B2"/>
    <w:rsid w:val="00F334F8"/>
    <w:rsid w:val="00F34E0F"/>
    <w:rsid w:val="00F350EB"/>
    <w:rsid w:val="00F355D8"/>
    <w:rsid w:val="00F366ED"/>
    <w:rsid w:val="00F3783F"/>
    <w:rsid w:val="00F4022A"/>
    <w:rsid w:val="00F410CD"/>
    <w:rsid w:val="00F41197"/>
    <w:rsid w:val="00F44A93"/>
    <w:rsid w:val="00F45366"/>
    <w:rsid w:val="00F45F1F"/>
    <w:rsid w:val="00F4706C"/>
    <w:rsid w:val="00F47A59"/>
    <w:rsid w:val="00F50BF6"/>
    <w:rsid w:val="00F5174D"/>
    <w:rsid w:val="00F5197F"/>
    <w:rsid w:val="00F527F7"/>
    <w:rsid w:val="00F5371E"/>
    <w:rsid w:val="00F548D2"/>
    <w:rsid w:val="00F56184"/>
    <w:rsid w:val="00F564F4"/>
    <w:rsid w:val="00F57B2B"/>
    <w:rsid w:val="00F603FA"/>
    <w:rsid w:val="00F60B37"/>
    <w:rsid w:val="00F614DD"/>
    <w:rsid w:val="00F62DE9"/>
    <w:rsid w:val="00F63974"/>
    <w:rsid w:val="00F64031"/>
    <w:rsid w:val="00F640F9"/>
    <w:rsid w:val="00F66075"/>
    <w:rsid w:val="00F66AB4"/>
    <w:rsid w:val="00F676A1"/>
    <w:rsid w:val="00F71A38"/>
    <w:rsid w:val="00F72019"/>
    <w:rsid w:val="00F72A84"/>
    <w:rsid w:val="00F75299"/>
    <w:rsid w:val="00F75EE3"/>
    <w:rsid w:val="00F82429"/>
    <w:rsid w:val="00F82BB8"/>
    <w:rsid w:val="00F831A0"/>
    <w:rsid w:val="00F83527"/>
    <w:rsid w:val="00F836A5"/>
    <w:rsid w:val="00F837A6"/>
    <w:rsid w:val="00F840C8"/>
    <w:rsid w:val="00F85589"/>
    <w:rsid w:val="00F85E7F"/>
    <w:rsid w:val="00F85FE1"/>
    <w:rsid w:val="00F8672B"/>
    <w:rsid w:val="00F86972"/>
    <w:rsid w:val="00F86A5D"/>
    <w:rsid w:val="00F916C8"/>
    <w:rsid w:val="00F92F53"/>
    <w:rsid w:val="00F93BFF"/>
    <w:rsid w:val="00F94706"/>
    <w:rsid w:val="00F9498D"/>
    <w:rsid w:val="00F94A64"/>
    <w:rsid w:val="00F96462"/>
    <w:rsid w:val="00F966F1"/>
    <w:rsid w:val="00FA0F2B"/>
    <w:rsid w:val="00FA12BF"/>
    <w:rsid w:val="00FA2A94"/>
    <w:rsid w:val="00FA3174"/>
    <w:rsid w:val="00FA324D"/>
    <w:rsid w:val="00FA5597"/>
    <w:rsid w:val="00FA60E1"/>
    <w:rsid w:val="00FA7D5C"/>
    <w:rsid w:val="00FB0C51"/>
    <w:rsid w:val="00FB0E1E"/>
    <w:rsid w:val="00FB2760"/>
    <w:rsid w:val="00FB2D41"/>
    <w:rsid w:val="00FB3BFE"/>
    <w:rsid w:val="00FB49EE"/>
    <w:rsid w:val="00FB5154"/>
    <w:rsid w:val="00FB51F4"/>
    <w:rsid w:val="00FB5E15"/>
    <w:rsid w:val="00FB764B"/>
    <w:rsid w:val="00FB7B87"/>
    <w:rsid w:val="00FB7F68"/>
    <w:rsid w:val="00FC0190"/>
    <w:rsid w:val="00FC14BB"/>
    <w:rsid w:val="00FC28CF"/>
    <w:rsid w:val="00FC2E67"/>
    <w:rsid w:val="00FC5367"/>
    <w:rsid w:val="00FC5522"/>
    <w:rsid w:val="00FC797C"/>
    <w:rsid w:val="00FD0436"/>
    <w:rsid w:val="00FD1A12"/>
    <w:rsid w:val="00FD1ED5"/>
    <w:rsid w:val="00FD203C"/>
    <w:rsid w:val="00FD2C7E"/>
    <w:rsid w:val="00FD39CD"/>
    <w:rsid w:val="00FD43BF"/>
    <w:rsid w:val="00FD4560"/>
    <w:rsid w:val="00FD46D6"/>
    <w:rsid w:val="00FD5220"/>
    <w:rsid w:val="00FD54D1"/>
    <w:rsid w:val="00FD5C8A"/>
    <w:rsid w:val="00FD67AA"/>
    <w:rsid w:val="00FD6CAA"/>
    <w:rsid w:val="00FD6E14"/>
    <w:rsid w:val="00FE0324"/>
    <w:rsid w:val="00FE0C04"/>
    <w:rsid w:val="00FE2E6A"/>
    <w:rsid w:val="00FE4ED8"/>
    <w:rsid w:val="00FE6340"/>
    <w:rsid w:val="00FE7B37"/>
    <w:rsid w:val="00FF3142"/>
    <w:rsid w:val="00FF390B"/>
    <w:rsid w:val="00FF468A"/>
    <w:rsid w:val="00FF66BE"/>
    <w:rsid w:val="00FF6791"/>
    <w:rsid w:val="00FF6C9D"/>
    <w:rsid w:val="00FF7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1D198D-1E6D-457F-B566-3201BAA9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1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B515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5154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B51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B5154"/>
  </w:style>
  <w:style w:type="paragraph" w:styleId="Pieddepage">
    <w:name w:val="footer"/>
    <w:basedOn w:val="Normal"/>
    <w:link w:val="PieddepageCar"/>
    <w:uiPriority w:val="99"/>
    <w:unhideWhenUsed/>
    <w:rsid w:val="00FB51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5154"/>
  </w:style>
  <w:style w:type="paragraph" w:styleId="Paragraphedeliste">
    <w:name w:val="List Paragraph"/>
    <w:basedOn w:val="Normal"/>
    <w:uiPriority w:val="34"/>
    <w:qFormat/>
    <w:rsid w:val="00FB515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B51E40"/>
    <w:rPr>
      <w:color w:val="0000FF"/>
      <w:u w:val="single"/>
    </w:rPr>
  </w:style>
  <w:style w:type="character" w:customStyle="1" w:styleId="hps">
    <w:name w:val="hps"/>
    <w:basedOn w:val="Policepardfaut"/>
    <w:rsid w:val="009569BA"/>
  </w:style>
  <w:style w:type="table" w:styleId="Grilledutableau">
    <w:name w:val="Table Grid"/>
    <w:basedOn w:val="TableauNormal"/>
    <w:uiPriority w:val="59"/>
    <w:rsid w:val="00751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8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drissi\Desktop\Enquete%20de%20conjoncture%20menages_BUREAU\2021\resultatseECM(trim1-08-trim3-2021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2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3.xlsx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de_calcul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ar-SA"/>
              <a:t>تطور مؤشر الثقة للأسر المغربية</a:t>
            </a:r>
            <a:endParaRPr lang="en-US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8.1432642922296891E-2"/>
          <c:y val="0.14406397439557619"/>
          <c:w val="0.91642725306190753"/>
          <c:h val="0.7420443801745807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'tableau note ar'!$A$2</c:f>
              <c:strCache>
                <c:ptCount val="1"/>
                <c:pt idx="0">
                  <c:v>Indice de Confiance des Ménages</c:v>
                </c:pt>
              </c:strCache>
            </c:strRef>
          </c:tx>
          <c:invertIfNegative val="0"/>
          <c:dLbls>
            <c:dLbl>
              <c:idx val="50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094E-4E89-A92D-4EAE9D606DEF}"/>
                </c:ext>
                <c:ext xmlns:c15="http://schemas.microsoft.com/office/drawing/2012/chart" uri="{CE6537A1-D6FC-4f65-9D91-7224C49458BB}"/>
              </c:extLst>
            </c:dLbl>
            <c:dLbl>
              <c:idx val="53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094E-4E89-A92D-4EAE9D606DEF}"/>
                </c:ext>
                <c:ext xmlns:c15="http://schemas.microsoft.com/office/drawing/2012/chart" uri="{CE6537A1-D6FC-4f65-9D91-7224C49458BB}"/>
              </c:extLst>
            </c:dLbl>
            <c:dLbl>
              <c:idx val="54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094E-4E89-A92D-4EAE9D606DEF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ar'!$B$2:$BD$2</c:f>
              <c:numCache>
                <c:formatCode>0.0</c:formatCode>
                <c:ptCount val="55"/>
                <c:pt idx="0">
                  <c:v>85.866502294191648</c:v>
                </c:pt>
                <c:pt idx="1">
                  <c:v>77.678707955853255</c:v>
                </c:pt>
                <c:pt idx="2">
                  <c:v>75.552480635756524</c:v>
                </c:pt>
                <c:pt idx="3">
                  <c:v>80.136884034904597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80.136086093619241</c:v>
                </c:pt>
                <c:pt idx="9">
                  <c:v>78.833388330574422</c:v>
                </c:pt>
                <c:pt idx="10">
                  <c:v>78.629956901853447</c:v>
                </c:pt>
                <c:pt idx="11">
                  <c:v>74.744893710814793</c:v>
                </c:pt>
                <c:pt idx="12">
                  <c:v>78.406406130604935</c:v>
                </c:pt>
                <c:pt idx="13">
                  <c:v>85.789532632532655</c:v>
                </c:pt>
                <c:pt idx="14">
                  <c:v>86.506225251482533</c:v>
                </c:pt>
                <c:pt idx="15">
                  <c:v>84.477214694876949</c:v>
                </c:pt>
                <c:pt idx="16">
                  <c:v>82.880478542821734</c:v>
                </c:pt>
                <c:pt idx="17">
                  <c:v>80.673652783725387</c:v>
                </c:pt>
                <c:pt idx="18">
                  <c:v>77.553867036569514</c:v>
                </c:pt>
                <c:pt idx="19">
                  <c:v>78.403353681349401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74.110620959005928</c:v>
                </c:pt>
                <c:pt idx="25">
                  <c:v>74.014553099961546</c:v>
                </c:pt>
                <c:pt idx="26">
                  <c:v>73.148145370690301</c:v>
                </c:pt>
                <c:pt idx="27">
                  <c:v>71.583460003653798</c:v>
                </c:pt>
                <c:pt idx="28">
                  <c:v>73.659282965035374</c:v>
                </c:pt>
                <c:pt idx="29">
                  <c:v>76.125099572807969</c:v>
                </c:pt>
                <c:pt idx="30">
                  <c:v>76.315005733686107</c:v>
                </c:pt>
                <c:pt idx="31">
                  <c:v>77.131028825386352</c:v>
                </c:pt>
                <c:pt idx="32">
                  <c:v>71.648499016392492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87.279337774029401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79.104981863169868</c:v>
                </c:pt>
                <c:pt idx="45">
                  <c:v>74.905107002702309</c:v>
                </c:pt>
                <c:pt idx="46">
                  <c:v>74.821311833194045</c:v>
                </c:pt>
                <c:pt idx="47">
                  <c:v>77.783342120372509</c:v>
                </c:pt>
                <c:pt idx="48">
                  <c:v>75.7331606377724</c:v>
                </c:pt>
                <c:pt idx="49">
                  <c:v>65.597735117391537</c:v>
                </c:pt>
                <c:pt idx="50">
                  <c:v>60.6</c:v>
                </c:pt>
                <c:pt idx="51">
                  <c:v>61.15460503678139</c:v>
                </c:pt>
                <c:pt idx="52">
                  <c:v>68.3</c:v>
                </c:pt>
                <c:pt idx="53">
                  <c:v>62.975895024721467</c:v>
                </c:pt>
                <c:pt idx="54">
                  <c:v>65.469321461685027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94E-4E89-A92D-4EAE9D606D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3370736"/>
        <c:axId val="1603371280"/>
      </c:barChart>
      <c:catAx>
        <c:axId val="16033707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600"/>
            </a:pPr>
            <a:endParaRPr lang="fr-FR"/>
          </a:p>
        </c:txPr>
        <c:crossAx val="1603371280"/>
        <c:crosses val="autoZero"/>
        <c:auto val="1"/>
        <c:lblAlgn val="ctr"/>
        <c:lblOffset val="100"/>
        <c:noMultiLvlLbl val="0"/>
      </c:catAx>
      <c:valAx>
        <c:axId val="1603371280"/>
        <c:scaling>
          <c:orientation val="minMax"/>
          <c:max val="100"/>
        </c:scaling>
        <c:delete val="0"/>
        <c:axPos val="l"/>
        <c:numFmt formatCode="0.0" sourceLinked="1"/>
        <c:majorTickMark val="none"/>
        <c:minorTickMark val="none"/>
        <c:tickLblPos val="nextTo"/>
        <c:crossAx val="16033707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 rtl="1">
              <a:defRPr sz="1600"/>
            </a:pPr>
            <a:r>
              <a:rPr lang="ar-MA" sz="1600"/>
              <a:t>تصور الأسر للتطور السابق و المستقبلي للمستوى العام للمعيشة</a:t>
            </a:r>
            <a:r>
              <a:rPr lang="fr-FR" sz="1600"/>
              <a:t> </a:t>
            </a:r>
            <a:r>
              <a:rPr lang="ar-MA" sz="1600"/>
              <a:t>(أرصدة الآراء)</a:t>
            </a:r>
            <a:endParaRPr lang="fr-FR" sz="1600"/>
          </a:p>
          <a:p>
            <a:pPr algn="ctr" rtl="1">
              <a:defRPr sz="1600"/>
            </a:pPr>
            <a:endParaRPr lang="fr-FR" sz="160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227656639073962E-2"/>
          <c:y val="0.26072492472183306"/>
          <c:w val="0.90676282704361133"/>
          <c:h val="0.43937980347277455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ar'!$A$4</c:f>
              <c:strCache>
                <c:ptCount val="1"/>
                <c:pt idx="0">
                  <c:v>التطور السابق لمستوى المعيشة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ar'!$B$4:$BD$4</c:f>
              <c:numCache>
                <c:formatCode>#,##0.0</c:formatCode>
                <c:ptCount val="55"/>
                <c:pt idx="0">
                  <c:v>-10.399945582052929</c:v>
                </c:pt>
                <c:pt idx="1">
                  <c:v>-25.153379455992283</c:v>
                </c:pt>
                <c:pt idx="2">
                  <c:v>-31.141291421499698</c:v>
                </c:pt>
                <c:pt idx="3">
                  <c:v>-29.393844818665304</c:v>
                </c:pt>
                <c:pt idx="4">
                  <c:v>-36.652789359955584</c:v>
                </c:pt>
                <c:pt idx="5">
                  <c:v>-29.10839451450699</c:v>
                </c:pt>
                <c:pt idx="6">
                  <c:v>-25.702364309825629</c:v>
                </c:pt>
                <c:pt idx="7">
                  <c:v>-26.546435956901799</c:v>
                </c:pt>
                <c:pt idx="8">
                  <c:v>-25.723634629573024</c:v>
                </c:pt>
                <c:pt idx="9">
                  <c:v>-28.564995519039886</c:v>
                </c:pt>
                <c:pt idx="10">
                  <c:v>-27.930454212484364</c:v>
                </c:pt>
                <c:pt idx="11">
                  <c:v>-37.236760344983345</c:v>
                </c:pt>
                <c:pt idx="12">
                  <c:v>-26.050959167650038</c:v>
                </c:pt>
                <c:pt idx="13">
                  <c:v>-16.961438303130915</c:v>
                </c:pt>
                <c:pt idx="14">
                  <c:v>-13.439142519852004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-21.816848529134624</c:v>
                </c:pt>
                <c:pt idx="18">
                  <c:v>-27.85707555673623</c:v>
                </c:pt>
                <c:pt idx="19">
                  <c:v>-28.088708351168698</c:v>
                </c:pt>
                <c:pt idx="20">
                  <c:v>-29.212341127418195</c:v>
                </c:pt>
                <c:pt idx="21">
                  <c:v>-23.102864483982053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-18.0602197692019</c:v>
                </c:pt>
                <c:pt idx="25">
                  <c:v>-17.740461010850293</c:v>
                </c:pt>
                <c:pt idx="26">
                  <c:v>-17.387590506775656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-12.78582192667845</c:v>
                </c:pt>
                <c:pt idx="30">
                  <c:v>-15.129825087046072</c:v>
                </c:pt>
                <c:pt idx="31">
                  <c:v>-13.828410383657552</c:v>
                </c:pt>
                <c:pt idx="32">
                  <c:v>-22.864633579953818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-17.464225574589371</c:v>
                </c:pt>
                <c:pt idx="36">
                  <c:v>-11.990228520502583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-3.7719246964283597</c:v>
                </c:pt>
                <c:pt idx="40">
                  <c:v>-6.24696090915109</c:v>
                </c:pt>
                <c:pt idx="41" formatCode="General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-14.967427927122966</c:v>
                </c:pt>
                <c:pt idx="45" formatCode="0.0">
                  <c:v>-25.353008106891462</c:v>
                </c:pt>
                <c:pt idx="46" formatCode="0.0">
                  <c:v>-20.237097183526259</c:v>
                </c:pt>
                <c:pt idx="47" formatCode="0.0">
                  <c:v>-19.996896512157356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 formatCode="0.0">
                  <c:v>-35.633876933169311</c:v>
                </c:pt>
                <c:pt idx="51" formatCode="0.0">
                  <c:v>-46.607458922581799</c:v>
                </c:pt>
                <c:pt idx="52" formatCode="0.0">
                  <c:v>-50.5</c:v>
                </c:pt>
                <c:pt idx="53" formatCode="0.0">
                  <c:v>-50.789884569181133</c:v>
                </c:pt>
                <c:pt idx="54" formatCode="0.0">
                  <c:v>-41.509403430971261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7A1C-44B1-8CD7-A3B546EA94B7}"/>
            </c:ext>
          </c:extLst>
        </c:ser>
        <c:ser>
          <c:idx val="1"/>
          <c:order val="1"/>
          <c:tx>
            <c:strRef>
              <c:f>'tableau note ar'!$A$5</c:f>
              <c:strCache>
                <c:ptCount val="1"/>
                <c:pt idx="0">
                  <c:v>التطور المستقبلي لمستوى المعيشة</c:v>
                </c:pt>
              </c:strCache>
            </c:strRef>
          </c:tx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ar'!$B$5:$BD$5</c:f>
              <c:numCache>
                <c:formatCode>#,##0.0</c:formatCode>
                <c:ptCount val="55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-3.469222816824828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8.4334302751112714E-2</c:v>
                </c:pt>
                <c:pt idx="7">
                  <c:v>2.1853913991610048</c:v>
                </c:pt>
                <c:pt idx="8">
                  <c:v>0.39154986438085543</c:v>
                </c:pt>
                <c:pt idx="9">
                  <c:v>2.7314646872285109</c:v>
                </c:pt>
                <c:pt idx="10">
                  <c:v>0.19418325799955127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18.13213993657882</c:v>
                </c:pt>
                <c:pt idx="14">
                  <c:v>11.870106120928277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-3.2327838268829288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-4.2068608448306399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-11.389732068783591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-12.672429336417746</c:v>
                </c:pt>
                <c:pt idx="28">
                  <c:v>-8.8537661336825266</c:v>
                </c:pt>
                <c:pt idx="29">
                  <c:v>-7.2727206831161748</c:v>
                </c:pt>
                <c:pt idx="30">
                  <c:v>-7.7131091840762114</c:v>
                </c:pt>
                <c:pt idx="31">
                  <c:v>-8.0828133778612692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11.056984366480332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General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9.9894562713734185</c:v>
                </c:pt>
                <c:pt idx="45" formatCode="0.0">
                  <c:v>4.7256177899689273</c:v>
                </c:pt>
                <c:pt idx="46" formatCode="0.0">
                  <c:v>-3.6764057837750341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 formatCode="0.0">
                  <c:v>-17.39518349525547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0.23038768840290016</c:v>
                </c:pt>
                <c:pt idx="54" formatCode="0.0">
                  <c:v>9.348182702070952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7A1C-44B1-8CD7-A3B546EA94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03371824"/>
        <c:axId val="1603372912"/>
      </c:lineChart>
      <c:catAx>
        <c:axId val="16033718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sz="800"/>
            </a:pPr>
            <a:endParaRPr lang="fr-FR"/>
          </a:p>
        </c:txPr>
        <c:crossAx val="1603372912"/>
        <c:crosses val="autoZero"/>
        <c:auto val="1"/>
        <c:lblAlgn val="ctr"/>
        <c:lblOffset val="100"/>
        <c:noMultiLvlLbl val="0"/>
      </c:catAx>
      <c:valAx>
        <c:axId val="1603372912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crossAx val="160337182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8457281782084936"/>
          <c:y val="0.88003012915819068"/>
          <c:w val="0.6479483814523187"/>
          <c:h val="6.3537151248814483E-2"/>
        </c:manualLayout>
      </c:layout>
      <c:overlay val="0"/>
      <c:txPr>
        <a:bodyPr/>
        <a:lstStyle/>
        <a:p>
          <a:pPr>
            <a:defRPr sz="1000" b="1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txPr>
    <a:bodyPr/>
    <a:lstStyle/>
    <a:p>
      <a:pPr>
        <a:defRPr sz="900"/>
      </a:pPr>
      <a:endParaRPr lang="fr-F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6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600" b="1" i="0" baseline="0"/>
              <a:t>التطور المستقبلي للبطالة</a:t>
            </a:r>
            <a:endParaRPr lang="fr-FR" sz="16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6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600" b="1" i="0" baseline="0"/>
              <a:t>(أرصدة الآراء)</a:t>
            </a:r>
            <a:endParaRPr lang="fr-FR" sz="16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6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 sz="1600"/>
          </a:p>
        </c:rich>
      </c:tx>
      <c:layout>
        <c:manualLayout>
          <c:xMode val="edge"/>
          <c:yMode val="edge"/>
          <c:x val="0.37822195302510281"/>
          <c:y val="2.3904272772120125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3.6835924355609416E-2"/>
          <c:y val="0.27488192800572098"/>
          <c:w val="0.95303307184553732"/>
          <c:h val="0.55944556833261316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ar'!$A$3</c:f>
              <c:strCache>
                <c:ptCount val="1"/>
                <c:pt idx="0">
                  <c:v>التطور المستقبلي للبطالة</c:v>
                </c:pt>
              </c:strCache>
            </c:strRef>
          </c:tx>
          <c:marker>
            <c:symbol val="none"/>
          </c:marker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ar'!$B$3:$BD$3</c:f>
              <c:numCache>
                <c:formatCode>#,##0.0</c:formatCode>
                <c:ptCount val="55"/>
                <c:pt idx="0">
                  <c:v>-52.09569227917914</c:v>
                </c:pt>
                <c:pt idx="1">
                  <c:v>-56.601297669293395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-57.930600458568513</c:v>
                </c:pt>
                <c:pt idx="7">
                  <c:v>-57.517749523976548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-52.335316844022422</c:v>
                </c:pt>
                <c:pt idx="12">
                  <c:v>-52.408437207990296</c:v>
                </c:pt>
                <c:pt idx="13">
                  <c:v>-45.982278486233518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-66.493969881109109</c:v>
                </c:pt>
                <c:pt idx="26">
                  <c:v>-68.825577821250008</c:v>
                </c:pt>
                <c:pt idx="27">
                  <c:v>-68.019160185663324</c:v>
                </c:pt>
                <c:pt idx="28">
                  <c:v>-65.155740215393749</c:v>
                </c:pt>
                <c:pt idx="29">
                  <c:v>-67.056481822589831</c:v>
                </c:pt>
                <c:pt idx="30">
                  <c:v>-66.189276460398091</c:v>
                </c:pt>
                <c:pt idx="31">
                  <c:v>-64.10077794974184</c:v>
                </c:pt>
                <c:pt idx="32">
                  <c:v>-67.734442836361026</c:v>
                </c:pt>
                <c:pt idx="33">
                  <c:v>-68.976178952187794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-59.886763094223177</c:v>
                </c:pt>
                <c:pt idx="39">
                  <c:v>-58.5</c:v>
                </c:pt>
                <c:pt idx="40">
                  <c:v>-54.525998602090162</c:v>
                </c:pt>
                <c:pt idx="41" formatCode="General">
                  <c:v>-61.706282712863526</c:v>
                </c:pt>
                <c:pt idx="42" formatCode="0.0">
                  <c:v>-65.247643368131975</c:v>
                </c:pt>
                <c:pt idx="43" formatCode="0.0">
                  <c:v>-70</c:v>
                </c:pt>
                <c:pt idx="44" formatCode="0.0">
                  <c:v>-75.565732444458945</c:v>
                </c:pt>
                <c:pt idx="45" formatCode="0.0">
                  <c:v>-76.905120512383789</c:v>
                </c:pt>
                <c:pt idx="46" formatCode="0.0">
                  <c:v>-71.817697941940366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-75.168553605935287</c:v>
                </c:pt>
                <c:pt idx="50" formatCode="0.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-78.313406558982578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1F2-4BD9-916D-7811297840C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14202368"/>
        <c:axId val="1614200736"/>
      </c:lineChart>
      <c:catAx>
        <c:axId val="1614202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614200736"/>
        <c:crosses val="autoZero"/>
        <c:auto val="1"/>
        <c:lblAlgn val="ctr"/>
        <c:lblOffset val="100"/>
        <c:noMultiLvlLbl val="0"/>
      </c:catAx>
      <c:valAx>
        <c:axId val="1614200736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700"/>
            </a:pPr>
            <a:endParaRPr lang="fr-FR"/>
          </a:p>
        </c:txPr>
        <c:crossAx val="1614202368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400" b="1" i="0" baseline="0"/>
              <a:t>فرص اقتناء السلع المستديمة</a:t>
            </a:r>
            <a:endParaRPr lang="fr-FR" sz="14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400" b="1" i="0" baseline="0"/>
              <a:t>(أرصدة الآراء)</a:t>
            </a:r>
            <a:endParaRPr lang="fr-FR" sz="14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 sz="140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2.9819749705182516E-2"/>
          <c:y val="0.28380825491325801"/>
          <c:w val="0.96236941004345822"/>
          <c:h val="0.6162424150364163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ar'!$A$6</c:f>
              <c:strCache>
                <c:ptCount val="1"/>
                <c:pt idx="0">
                  <c:v>فرص اقتناء السلع المستديمة</c:v>
                </c:pt>
              </c:strCache>
            </c:strRef>
          </c:tx>
          <c:marker>
            <c:symbol val="none"/>
          </c:marker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ar'!$B$6:$BD$6</c:f>
              <c:numCache>
                <c:formatCode>#,##0.0</c:formatCode>
                <c:ptCount val="55"/>
                <c:pt idx="0">
                  <c:v>-30.018449770831825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-39.103064640682909</c:v>
                </c:pt>
                <c:pt idx="4">
                  <c:v>-41.765350509033894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-34.7565064717216</c:v>
                </c:pt>
                <c:pt idx="9">
                  <c:v>-37.532519098271798</c:v>
                </c:pt>
                <c:pt idx="10">
                  <c:v>-36.012077907569903</c:v>
                </c:pt>
                <c:pt idx="11">
                  <c:v>-44.335673139520999</c:v>
                </c:pt>
                <c:pt idx="12">
                  <c:v>-39.86007627761677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-37.388587169100539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-28.348240299081716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-36.986420638663809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-37.509325471422486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-39.999291784066457</c:v>
                </c:pt>
                <c:pt idx="37">
                  <c:v>-28.160977836062902</c:v>
                </c:pt>
                <c:pt idx="38">
                  <c:v>-31.475843594428106</c:v>
                </c:pt>
                <c:pt idx="39">
                  <c:v>-25.6</c:v>
                </c:pt>
                <c:pt idx="40">
                  <c:v>-27.189644342164559</c:v>
                </c:pt>
                <c:pt idx="41" formatCode="General">
                  <c:v>-25.753095123938721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-37.730567473068433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 formatCode="0.0">
                  <c:v>-63.469757370471896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-61.974386136345942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75A8-42EB-9634-EB8C11658C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14203456"/>
        <c:axId val="1615040448"/>
      </c:lineChart>
      <c:catAx>
        <c:axId val="161420345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615040448"/>
        <c:crosses val="autoZero"/>
        <c:auto val="1"/>
        <c:lblAlgn val="ctr"/>
        <c:lblOffset val="100"/>
        <c:noMultiLvlLbl val="0"/>
      </c:catAx>
      <c:valAx>
        <c:axId val="1615040448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 lang="en-US" sz="800"/>
            </a:pPr>
            <a:endParaRPr lang="fr-FR"/>
          </a:p>
        </c:txPr>
        <c:crossAx val="1614203456"/>
        <c:crosses val="autoZero"/>
        <c:crossBetween val="between"/>
      </c:valAx>
    </c:plotArea>
    <c:plotVisOnly val="1"/>
    <c:dispBlanksAs val="gap"/>
    <c:showDLblsOverMax val="0"/>
  </c:chart>
  <c:spPr>
    <a:ln w="3175">
      <a:solidFill>
        <a:schemeClr val="tx1"/>
      </a:solidFill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800" b="1" i="0" baseline="0"/>
              <a:t>تصور الأسر حول وضعيتهم المالية</a:t>
            </a:r>
            <a:endParaRPr lang="fr-FR" sz="18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ar-MA" sz="1800" b="1" i="0" baseline="0"/>
              <a:t>(أرصدة الآراء)</a:t>
            </a:r>
            <a:endParaRPr lang="fr-FR" sz="1800" b="1" i="0" baseline="0"/>
          </a:p>
          <a:p>
            <a:pPr marL="0" marR="0" indent="0" algn="ctr" defTabSz="914400" rtl="1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 sz="1800" b="1" i="0" baseline="0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5.7102934248603618E-2"/>
          <c:y val="0.25354855924047792"/>
          <c:w val="0.919392792247123"/>
          <c:h val="0.52331134682859015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ar'!$A$7</c:f>
              <c:strCache>
                <c:ptCount val="1"/>
                <c:pt idx="0">
                  <c:v>الوضعية المالية الحالية للأسرة</c:v>
                </c:pt>
              </c:strCache>
            </c:strRef>
          </c:tx>
          <c:marker>
            <c:symbol val="square"/>
            <c:size val="5"/>
          </c:marker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ar'!$B$7:$BB$7</c:f>
              <c:numCache>
                <c:formatCode>#,##0.0</c:formatCode>
                <c:ptCount val="53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-31.284887127595884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-28.062624892496334</c:v>
                </c:pt>
                <c:pt idx="12">
                  <c:v>-30.645498931903759</c:v>
                </c:pt>
                <c:pt idx="13">
                  <c:v>-27.092549889444363</c:v>
                </c:pt>
                <c:pt idx="14">
                  <c:v>-24.28899054728441</c:v>
                </c:pt>
                <c:pt idx="15">
                  <c:v>-25.669712181349762</c:v>
                </c:pt>
                <c:pt idx="16">
                  <c:v>-25.435462945688833</c:v>
                </c:pt>
                <c:pt idx="17">
                  <c:v>-31.04068949894889</c:v>
                </c:pt>
                <c:pt idx="18">
                  <c:v>-30.846093343724217</c:v>
                </c:pt>
                <c:pt idx="19">
                  <c:v>-29.426966691861285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-29.484131282651251</c:v>
                </c:pt>
                <c:pt idx="23">
                  <c:v>-29.485585569479976</c:v>
                </c:pt>
                <c:pt idx="24">
                  <c:v>-31.290770339915063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-30.637429411694029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-25.699936983325891</c:v>
                </c:pt>
                <c:pt idx="32">
                  <c:v>-27.232686212381445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-28.725836843764085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-25.236685531801356</c:v>
                </c:pt>
                <c:pt idx="41" formatCode="General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-28.874306637901366</c:v>
                </c:pt>
                <c:pt idx="45" formatCode="0.0">
                  <c:v>-30.794330285810986</c:v>
                </c:pt>
                <c:pt idx="46" formatCode="0.0">
                  <c:v>-29.543474949783896</c:v>
                </c:pt>
                <c:pt idx="47" formatCode="0.0">
                  <c:v>-26.38685501138583</c:v>
                </c:pt>
                <c:pt idx="48" formatCode="0.0">
                  <c:v>-27.711995909750609</c:v>
                </c:pt>
                <c:pt idx="49" formatCode="0.0">
                  <c:v>-29.955220894721695</c:v>
                </c:pt>
                <c:pt idx="50" formatCode="0.0">
                  <c:v>-31.504825451700437</c:v>
                </c:pt>
                <c:pt idx="51" formatCode="0.0">
                  <c:v>-29.083585505842859</c:v>
                </c:pt>
                <c:pt idx="52" formatCode="0.0">
                  <c:v>-34.4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EF2D-47F1-B652-F48CF90928E3}"/>
            </c:ext>
          </c:extLst>
        </c:ser>
        <c:ser>
          <c:idx val="1"/>
          <c:order val="1"/>
          <c:tx>
            <c:strRef>
              <c:f>'tableau note ar'!$A$8</c:f>
              <c:strCache>
                <c:ptCount val="1"/>
                <c:pt idx="0">
                  <c:v>التطور السابق للوضعية المالية للأسرة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ar'!$B$8:$BB$8</c:f>
              <c:numCache>
                <c:formatCode>#,##0.0</c:formatCode>
                <c:ptCount val="53"/>
                <c:pt idx="0">
                  <c:v>-11.760493904860514</c:v>
                </c:pt>
                <c:pt idx="1">
                  <c:v>-11.376439540974161</c:v>
                </c:pt>
                <c:pt idx="2">
                  <c:v>-11.707546774199241</c:v>
                </c:pt>
                <c:pt idx="3">
                  <c:v>-9.5250570435126427</c:v>
                </c:pt>
                <c:pt idx="4">
                  <c:v>-18.438210074457377</c:v>
                </c:pt>
                <c:pt idx="5">
                  <c:v>-13.353492384896754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-9.8004349690183883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-23.788807201688936</c:v>
                </c:pt>
                <c:pt idx="22">
                  <c:v>-21.891965579068483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-29.150994705705703</c:v>
                </c:pt>
                <c:pt idx="28">
                  <c:v>-26.965288381475784</c:v>
                </c:pt>
                <c:pt idx="29">
                  <c:v>-20.216971341645095</c:v>
                </c:pt>
                <c:pt idx="30">
                  <c:v>-20.789363149769301</c:v>
                </c:pt>
                <c:pt idx="31">
                  <c:v>-18.50333400384844</c:v>
                </c:pt>
                <c:pt idx="32">
                  <c:v>-27.398022856415249</c:v>
                </c:pt>
                <c:pt idx="33">
                  <c:v>-22.820131487915329</c:v>
                </c:pt>
                <c:pt idx="34">
                  <c:v>-26.987361336961225</c:v>
                </c:pt>
                <c:pt idx="35">
                  <c:v>-33.305012733303052</c:v>
                </c:pt>
                <c:pt idx="36">
                  <c:v>-26.76440808713053</c:v>
                </c:pt>
                <c:pt idx="37">
                  <c:v>-16.62670425295974</c:v>
                </c:pt>
                <c:pt idx="38">
                  <c:v>-14.506801572644612</c:v>
                </c:pt>
                <c:pt idx="39">
                  <c:v>-16.7</c:v>
                </c:pt>
                <c:pt idx="40">
                  <c:v>-18.12020796730943</c:v>
                </c:pt>
                <c:pt idx="41" formatCode="General">
                  <c:v>-15.241299993196519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-21.239570741294088</c:v>
                </c:pt>
                <c:pt idx="45" formatCode="0.0">
                  <c:v>-24.187755596841427</c:v>
                </c:pt>
                <c:pt idx="46" formatCode="0.0">
                  <c:v>-26.020639530378304</c:v>
                </c:pt>
                <c:pt idx="47" formatCode="0.0">
                  <c:v>-22.058531326387186</c:v>
                </c:pt>
                <c:pt idx="48" formatCode="0.0">
                  <c:v>-22.87812787616231</c:v>
                </c:pt>
                <c:pt idx="49" formatCode="0.0">
                  <c:v>-26.986745192981473</c:v>
                </c:pt>
                <c:pt idx="50" formatCode="0.0">
                  <c:v>-33.978821699551595</c:v>
                </c:pt>
                <c:pt idx="51" formatCode="0.0">
                  <c:v>-39.901098518697168</c:v>
                </c:pt>
                <c:pt idx="52" formatCode="0.0">
                  <c:v>-47.4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EF2D-47F1-B652-F48CF90928E3}"/>
            </c:ext>
          </c:extLst>
        </c:ser>
        <c:ser>
          <c:idx val="2"/>
          <c:order val="2"/>
          <c:tx>
            <c:strRef>
              <c:f>'tableau note ar'!$A$9</c:f>
              <c:strCache>
                <c:ptCount val="1"/>
                <c:pt idx="0">
                  <c:v>التطور المرتقب للوضعية المالية للأسرة</c:v>
                </c:pt>
              </c:strCache>
            </c:strRef>
          </c:tx>
          <c:cat>
            <c:strRef>
              <c:f>'tableau note ar'!$B$1:$BB$1</c:f>
              <c:strCache>
                <c:ptCount val="53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</c:strCache>
            </c:strRef>
          </c:cat>
          <c:val>
            <c:numRef>
              <c:f>'tableau note ar'!$B$9:$BB$9</c:f>
              <c:numCache>
                <c:formatCode>#,##0.0</c:formatCode>
                <c:ptCount val="53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26.705941849103215</c:v>
                </c:pt>
                <c:pt idx="4">
                  <c:v>26.769154239001946</c:v>
                </c:pt>
                <c:pt idx="5">
                  <c:v>21.986954089697061</c:v>
                </c:pt>
                <c:pt idx="6">
                  <c:v>17.532817766676466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11.776375704730519</c:v>
                </c:pt>
                <c:pt idx="10">
                  <c:v>7.8068380126684715</c:v>
                </c:pt>
                <c:pt idx="11">
                  <c:v>9.365651922215747</c:v>
                </c:pt>
                <c:pt idx="12">
                  <c:v>10.223761077165181</c:v>
                </c:pt>
                <c:pt idx="13">
                  <c:v>20.35454845779271</c:v>
                </c:pt>
                <c:pt idx="14">
                  <c:v>15.105327443781253</c:v>
                </c:pt>
                <c:pt idx="15">
                  <c:v>13.999505506513675</c:v>
                </c:pt>
                <c:pt idx="16">
                  <c:v>11.230833640450337</c:v>
                </c:pt>
                <c:pt idx="17">
                  <c:v>11.136340416980383</c:v>
                </c:pt>
                <c:pt idx="18">
                  <c:v>7.6658451594013002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-1.7003971659207189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-3.9139038482871538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3.3451516718598642</c:v>
                </c:pt>
                <c:pt idx="31">
                  <c:v>7.6417999475620588</c:v>
                </c:pt>
                <c:pt idx="32">
                  <c:v>1.2373351928094016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6.4877666459978176</c:v>
                </c:pt>
                <c:pt idx="36">
                  <c:v>13.359772169150251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25.926424488378249</c:v>
                </c:pt>
                <c:pt idx="41" formatCode="General">
                  <c:v>28.130493740025241</c:v>
                </c:pt>
                <c:pt idx="42" formatCode="0.0">
                  <c:v>18.237772049662343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15.949037871016614</c:v>
                </c:pt>
                <c:pt idx="48" formatCode="0.0">
                  <c:v>8.5440476832129555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EF2D-47F1-B652-F48CF90928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5042080"/>
        <c:axId val="1615041536"/>
      </c:lineChart>
      <c:catAx>
        <c:axId val="1615042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615041536"/>
        <c:crosses val="autoZero"/>
        <c:auto val="1"/>
        <c:lblAlgn val="ctr"/>
        <c:lblOffset val="100"/>
        <c:noMultiLvlLbl val="0"/>
      </c:catAx>
      <c:valAx>
        <c:axId val="1615041536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615042080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lang="en-US" sz="1400"/>
            </a:pPr>
            <a:r>
              <a:rPr lang="ar-MA" sz="1800" b="1" i="0" baseline="0"/>
              <a:t>تصور الأسر للتطور السابق و المستقبلي لأثمنة المواد الغذائية</a:t>
            </a:r>
            <a:endParaRPr lang="fr-FR" sz="1800" b="1" i="0" baseline="0"/>
          </a:p>
          <a:p>
            <a:pPr>
              <a:defRPr lang="en-US" sz="1400"/>
            </a:pPr>
            <a:r>
              <a:rPr lang="ar-MA" sz="1800" b="1" i="0" baseline="0"/>
              <a:t>(أرصدة الآراء)</a:t>
            </a:r>
            <a:endParaRPr lang="fr-FR" sz="1800" b="1" i="0" baseline="0"/>
          </a:p>
        </c:rich>
      </c:tx>
      <c:layout>
        <c:manualLayout>
          <c:xMode val="edge"/>
          <c:yMode val="edge"/>
          <c:x val="0.13624361023608397"/>
          <c:y val="2.1465163303846953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6.4351403189985903E-2"/>
          <c:y val="0.24904068618661243"/>
          <c:w val="0.91007862895562319"/>
          <c:h val="0.53438408921881153"/>
        </c:manualLayout>
      </c:layout>
      <c:lineChart>
        <c:grouping val="standard"/>
        <c:varyColors val="0"/>
        <c:ser>
          <c:idx val="0"/>
          <c:order val="0"/>
          <c:tx>
            <c:strRef>
              <c:f>'tableau note ar'!$A$11</c:f>
              <c:strCache>
                <c:ptCount val="1"/>
                <c:pt idx="0">
                  <c:v>التطور المرتقب لأسعار المواد الغذائية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ar'!$B$11:$BD$11</c:f>
              <c:numCache>
                <c:formatCode>#,##0.0</c:formatCode>
                <c:ptCount val="55"/>
                <c:pt idx="0">
                  <c:v>-74.061389031284818</c:v>
                </c:pt>
                <c:pt idx="1">
                  <c:v>-77.716574651610287</c:v>
                </c:pt>
                <c:pt idx="2">
                  <c:v>-78.940542419693813</c:v>
                </c:pt>
                <c:pt idx="3">
                  <c:v>-49.653420650313613</c:v>
                </c:pt>
                <c:pt idx="4">
                  <c:v>-34.869529990694446</c:v>
                </c:pt>
                <c:pt idx="5">
                  <c:v>-33.523065681383393</c:v>
                </c:pt>
                <c:pt idx="6">
                  <c:v>-50.919242344766445</c:v>
                </c:pt>
                <c:pt idx="7">
                  <c:v>-47.871947864454633</c:v>
                </c:pt>
                <c:pt idx="8">
                  <c:v>-46.515022811525768</c:v>
                </c:pt>
                <c:pt idx="9">
                  <c:v>-56.832932011427893</c:v>
                </c:pt>
                <c:pt idx="10">
                  <c:v>-62.17673130613688</c:v>
                </c:pt>
                <c:pt idx="11">
                  <c:v>-70.131788082404327</c:v>
                </c:pt>
                <c:pt idx="12">
                  <c:v>-73.412747182584027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-72.965887012435118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-73.578371466434049</c:v>
                </c:pt>
                <c:pt idx="19">
                  <c:v>-70.049698245525676</c:v>
                </c:pt>
                <c:pt idx="20">
                  <c:v>-76.096296687300509</c:v>
                </c:pt>
                <c:pt idx="21">
                  <c:v>-73.375476646911679</c:v>
                </c:pt>
                <c:pt idx="22">
                  <c:v>-76.007455926126042</c:v>
                </c:pt>
                <c:pt idx="23">
                  <c:v>-76.048555842624609</c:v>
                </c:pt>
                <c:pt idx="24">
                  <c:v>-77.551787041299903</c:v>
                </c:pt>
                <c:pt idx="25">
                  <c:v>-78.042355521266373</c:v>
                </c:pt>
                <c:pt idx="26">
                  <c:v>-76.898841721729895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-79.602800137508027</c:v>
                </c:pt>
                <c:pt idx="40">
                  <c:v>-82.909090889011466</c:v>
                </c:pt>
                <c:pt idx="41" formatCode="General">
                  <c:v>-84.024833717392056</c:v>
                </c:pt>
                <c:pt idx="42">
                  <c:v>-82.078038176837524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>
                  <c:v>-69.044082249115931</c:v>
                </c:pt>
                <c:pt idx="50" formatCode="0.0">
                  <c:v>-68.063522341730973</c:v>
                </c:pt>
                <c:pt idx="51" formatCode="0.0">
                  <c:v>-64.634662916008139</c:v>
                </c:pt>
                <c:pt idx="52" formatCode="0.0">
                  <c:v>-60.2</c:v>
                </c:pt>
                <c:pt idx="53" formatCode="0.0">
                  <c:v>-67.626807058147179</c:v>
                </c:pt>
                <c:pt idx="54" formatCode="0.0">
                  <c:v>-70.948472628894379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185D-470A-8E61-2398F6578262}"/>
            </c:ext>
          </c:extLst>
        </c:ser>
        <c:ser>
          <c:idx val="1"/>
          <c:order val="1"/>
          <c:tx>
            <c:strRef>
              <c:f>'tableau note ar'!$A$12</c:f>
              <c:strCache>
                <c:ptCount val="1"/>
                <c:pt idx="0">
                  <c:v>التطور السابق لأسعار المواد الغذائية</c:v>
                </c:pt>
              </c:strCache>
            </c:strRef>
          </c:tx>
          <c:cat>
            <c:strRef>
              <c:f>'tableau note ar'!$B$1:$BD$1</c:f>
              <c:strCache>
                <c:ptCount val="55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</c:strCache>
            </c:strRef>
          </c:cat>
          <c:val>
            <c:numRef>
              <c:f>'tableau note ar'!$B$12:$BD$12</c:f>
              <c:numCache>
                <c:formatCode>#,##0.0</c:formatCode>
                <c:ptCount val="55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-83.278098478101526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-90.967802162493584</c:v>
                </c:pt>
                <c:pt idx="12">
                  <c:v>-95.526783459398686</c:v>
                </c:pt>
                <c:pt idx="13">
                  <c:v>-87.197236284295712</c:v>
                </c:pt>
                <c:pt idx="14">
                  <c:v>-89.924388392526225</c:v>
                </c:pt>
                <c:pt idx="15">
                  <c:v>-92.495216554147675</c:v>
                </c:pt>
                <c:pt idx="16">
                  <c:v>-91.625316584481951</c:v>
                </c:pt>
                <c:pt idx="17">
                  <c:v>-91.140544889708991</c:v>
                </c:pt>
                <c:pt idx="18">
                  <c:v>-91.653648288633647</c:v>
                </c:pt>
                <c:pt idx="19">
                  <c:v>-90.602273539903038</c:v>
                </c:pt>
                <c:pt idx="20">
                  <c:v>-91.630328830979764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-84.135715875789174</c:v>
                </c:pt>
                <c:pt idx="26">
                  <c:v>-81.763249669623676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-84.284507159523827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-87.871778057968271</c:v>
                </c:pt>
                <c:pt idx="34">
                  <c:v>-87.672521775531024</c:v>
                </c:pt>
                <c:pt idx="35">
                  <c:v>-87.308587775463465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-82.805018292489592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General">
                  <c:v>-88.182833745436767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-88.136419421127698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-85.084964738360185</c:v>
                </c:pt>
                <c:pt idx="48">
                  <c:v>-82.774085672956872</c:v>
                </c:pt>
                <c:pt idx="49">
                  <c:v>-67.616999612935103</c:v>
                </c:pt>
                <c:pt idx="50" formatCode="0.0">
                  <c:v>-75.123128911649388</c:v>
                </c:pt>
                <c:pt idx="51" formatCode="0.0">
                  <c:v>-74.676635648394679</c:v>
                </c:pt>
                <c:pt idx="52" formatCode="0.0">
                  <c:v>-74</c:v>
                </c:pt>
                <c:pt idx="53" formatCode="0.0">
                  <c:v>-86.830108784480728</c:v>
                </c:pt>
                <c:pt idx="54" formatCode="0.0">
                  <c:v>-86.892269253653353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185D-470A-8E61-2398F65782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5038816"/>
        <c:axId val="1615042624"/>
      </c:lineChart>
      <c:catAx>
        <c:axId val="161503881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615042624"/>
        <c:crosses val="autoZero"/>
        <c:auto val="1"/>
        <c:lblAlgn val="ctr"/>
        <c:lblOffset val="100"/>
        <c:noMultiLvlLbl val="0"/>
      </c:catAx>
      <c:valAx>
        <c:axId val="1615042624"/>
        <c:scaling>
          <c:orientation val="minMax"/>
        </c:scaling>
        <c:delete val="0"/>
        <c:axPos val="l"/>
        <c:majorGridlines/>
        <c:numFmt formatCode="#,##0" sourceLinked="0"/>
        <c:majorTickMark val="none"/>
        <c:min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900"/>
            </a:pPr>
            <a:endParaRPr lang="fr-FR"/>
          </a:p>
        </c:txPr>
        <c:crossAx val="1615038816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  <c:showDLblsOverMax val="0"/>
  </c:chart>
  <c:spPr>
    <a:ln w="3175">
      <a:solidFill>
        <a:schemeClr val="tx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14294-ADAF-47FB-8EE4-3C1CA3756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1135</Words>
  <Characters>6246</Characters>
  <Application>Microsoft Office Word</Application>
  <DocSecurity>0</DocSecurity>
  <Lines>52</Lines>
  <Paragraphs>14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Bakraoui</dc:creator>
  <cp:lastModifiedBy>Fainine</cp:lastModifiedBy>
  <cp:revision>2</cp:revision>
  <cp:lastPrinted>2021-10-15T14:34:00Z</cp:lastPrinted>
  <dcterms:created xsi:type="dcterms:W3CDTF">2022-05-17T09:49:00Z</dcterms:created>
  <dcterms:modified xsi:type="dcterms:W3CDTF">2022-05-17T09:49:00Z</dcterms:modified>
</cp:coreProperties>
</file>