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C79" w:rsidRPr="003A2CE4" w:rsidRDefault="00BE61F4" w:rsidP="002A7221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-1861185</wp:posOffset>
                </wp:positionH>
                <wp:positionV relativeFrom="paragraph">
                  <wp:posOffset>-730885</wp:posOffset>
                </wp:positionV>
                <wp:extent cx="11558905" cy="2607945"/>
                <wp:effectExtent l="0" t="114300" r="23495" b="20955"/>
                <wp:wrapNone/>
                <wp:docPr id="1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58905" cy="2607945"/>
                          <a:chOff x="105626194" y="104688723"/>
                          <a:chExt cx="8335958" cy="3528000"/>
                        </a:xfrm>
                      </wpg:grpSpPr>
                      <wps:wsp>
                        <wps:cNvPr id="18" name="Freeform 6"/>
                        <wps:cNvSpPr>
                          <a:spLocks/>
                        </wps:cNvSpPr>
                        <wps:spPr bwMode="auto">
                          <a:xfrm>
                            <a:off x="105682152" y="104688723"/>
                            <a:ext cx="8280000" cy="1871718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2540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7"/>
                        <wps:cNvSpPr>
                          <a:spLocks/>
                        </wps:cNvSpPr>
                        <wps:spPr bwMode="auto">
                          <a:xfrm>
                            <a:off x="107050152" y="104688723"/>
                            <a:ext cx="6912000" cy="1871718"/>
                          </a:xfrm>
                          <a:custGeom>
                            <a:avLst/>
                            <a:gdLst>
                              <a:gd name="T0" fmla="*/ 1008000 w 5328000"/>
                              <a:gd name="T1" fmla="*/ 144000 h 1944000"/>
                              <a:gd name="T2" fmla="*/ 3168000 w 5328000"/>
                              <a:gd name="T3" fmla="*/ 1512000 h 1944000"/>
                              <a:gd name="T4" fmla="*/ 4104000 w 5328000"/>
                              <a:gd name="T5" fmla="*/ 1872000 h 1944000"/>
                              <a:gd name="T6" fmla="*/ 5328000 w 5328000"/>
                              <a:gd name="T7" fmla="*/ 1944000 h 1944000"/>
                              <a:gd name="T8" fmla="*/ 5328000 w 5328000"/>
                              <a:gd name="T9" fmla="*/ 0 h 1944000"/>
                              <a:gd name="T10" fmla="*/ 0 w 5328000"/>
                              <a:gd name="T11" fmla="*/ 0 h 1944000"/>
                              <a:gd name="T12" fmla="*/ 1008000 w 5328000"/>
                              <a:gd name="T13" fmla="*/ 144000 h 1944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5328000" h="1944000">
                                <a:moveTo>
                                  <a:pt x="1008000" y="144000"/>
                                </a:moveTo>
                                <a:lnTo>
                                  <a:pt x="3168000" y="1512000"/>
                                </a:lnTo>
                                <a:lnTo>
                                  <a:pt x="4104000" y="1872000"/>
                                </a:lnTo>
                                <a:lnTo>
                                  <a:pt x="5328000" y="1944000"/>
                                </a:lnTo>
                                <a:lnTo>
                                  <a:pt x="5328000" y="0"/>
                                </a:lnTo>
                                <a:lnTo>
                                  <a:pt x="0" y="0"/>
                                </a:lnTo>
                                <a:lnTo>
                                  <a:pt x="1008000" y="1440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8"/>
                        <wps:cNvSpPr>
                          <a:spLocks/>
                        </wps:cNvSpPr>
                        <wps:spPr bwMode="auto">
                          <a:xfrm>
                            <a:off x="105626194" y="104829689"/>
                            <a:ext cx="8335958" cy="1998140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9"/>
                        <wps:cNvSpPr>
                          <a:spLocks/>
                        </wps:cNvSpPr>
                        <wps:spPr bwMode="auto">
                          <a:xfrm>
                            <a:off x="105708410" y="104861339"/>
                            <a:ext cx="8197784" cy="2152137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0"/>
                        <wps:cNvSpPr>
                          <a:spLocks/>
                        </wps:cNvSpPr>
                        <wps:spPr bwMode="auto">
                          <a:xfrm>
                            <a:off x="105726458" y="104892989"/>
                            <a:ext cx="8163694" cy="2335922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1"/>
                        <wps:cNvSpPr>
                          <a:spLocks/>
                        </wps:cNvSpPr>
                        <wps:spPr bwMode="auto">
                          <a:xfrm>
                            <a:off x="105744506" y="104924639"/>
                            <a:ext cx="8073646" cy="2489919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2"/>
                        <wps:cNvSpPr>
                          <a:spLocks/>
                        </wps:cNvSpPr>
                        <wps:spPr bwMode="auto">
                          <a:xfrm>
                            <a:off x="105762554" y="104956289"/>
                            <a:ext cx="8039556" cy="2658811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3"/>
                        <wps:cNvSpPr>
                          <a:spLocks/>
                        </wps:cNvSpPr>
                        <wps:spPr bwMode="auto">
                          <a:xfrm>
                            <a:off x="105684350" y="104973046"/>
                            <a:ext cx="8125592" cy="2842595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4"/>
                        <wps:cNvSpPr>
                          <a:spLocks/>
                        </wps:cNvSpPr>
                        <wps:spPr bwMode="auto">
                          <a:xfrm>
                            <a:off x="105686356" y="105004696"/>
                            <a:ext cx="8139628" cy="3011486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15"/>
                        <wps:cNvSpPr>
                          <a:spLocks/>
                        </wps:cNvSpPr>
                        <wps:spPr bwMode="auto">
                          <a:xfrm>
                            <a:off x="105720446" y="105036346"/>
                            <a:ext cx="8065622" cy="3180377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B021A9" id="Group 5" o:spid="_x0000_s1026" style="position:absolute;margin-left:-146.55pt;margin-top:-57.55pt;width:910.15pt;height:205.35pt;z-index:251656192" coordorigin="1056261,1046887" coordsize="83359,35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">
                <v:shape id="Freeform 6" o:spid="_x0000_s1027" style="position:absolute;left:1056821;top:1046887;width:82800;height:18717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YyB8MA&#10;AADbAAAADwAAAGRycy9kb3ducmV2LnhtbESPT2sCMRDF7wW/Qxiht5q1LUVWo4ggttCLf/A8bMbN&#10;6mayJNHdfvvOodDbDO/Ne79ZrAbfqgfF1AQ2MJ0UoIirYBuuDZyO25cZqJSRLbaBycAPJVgtR08L&#10;LG3oeU+PQ66VhHAq0YDLuSu1TpUjj2kSOmLRLiF6zLLGWtuIvYT7Vr8WxYf22LA0OOxo46i6He7e&#10;AH6d3ffx3vTvcVfEfd7upuH6ZszzeFjPQWUa8r/57/rTCr7Ayi8ygF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YyB8MAAADbAAAADwAAAAAAAAAAAAAAAACYAgAAZHJzL2Rv&#10;d25yZXYueG1sUEsFBgAAAAAEAAQA9QAAAIgDAAAAAA==&#10;" path="m4248000,2160000v-456000,-30000,-912000,-60000,-1368000,-360000c2424000,1500000,1992000,660000,1512000,360000,1032000,60000,252000,60000,,e" filled="f" strokecolor="#e36c0a" strokeweight="20pt">
                  <v:path arrowok="t" o:connecttype="custom" o:connectlocs="8280000,1871718;5613559,1559765;2947119,311953;0,0" o:connectangles="0,0,0,0"/>
                </v:shape>
                <v:shape id="Freeform 7" o:spid="_x0000_s1028" style="position:absolute;left:1070501;top:1046887;width:69120;height:18717;visibility:visible;mso-wrap-style:square;v-text-anchor:top" coordsize="5328000,194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DBwcYA&#10;AADbAAAADwAAAGRycy9kb3ducmV2LnhtbESPQWvCQBSE70L/w/IKXqTZGIotaVYRUZQKQrVgj4/s&#10;axKafRt2V037612h4HGYmW+YYtabVpzJ+caygnGSgiAurW64UvB5WD29gvABWWNrmRT8kofZ9GFQ&#10;YK7thT/ovA+ViBD2OSqoQ+hyKX1Zk0Gf2I44et/WGQxRukpqh5cIN63M0nQiDTYcF2rsaFFT+bM/&#10;GQXHsPvbfGXHpduunw/vo8nLeuedUsPHfv4GIlAf7uH/9kYryMZw+xJ/gJ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BDBwcYAAADbAAAADwAAAAAAAAAAAAAAAACYAgAAZHJz&#10;L2Rvd25yZXYueG1sUEsFBgAAAAAEAAQA9QAAAIsDAAAAAA==&#10;" path="m1008000,144000l3168000,1512000r936000,360000l5328000,1944000,5328000,,,,1008000,144000xe" filled="f" strokecolor="#e36c0a">
                  <v:path arrowok="t" o:connecttype="custom" o:connectlocs="1307676,138646;4109838,1455781;5324108,1802395;6912000,1871718;6912000,0;0,0;1307676,138646" o:connectangles="0,0,0,0,0,0,0"/>
                </v:shape>
                <v:shape id="Freeform 8" o:spid="_x0000_s1029" style="position:absolute;left:1056261;top:1048296;width:83360;height:19982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c1C8QA&#10;AADbAAAADwAAAGRycy9kb3ducmV2LnhtbESPQWvCQBSE70L/w/IKvUizSSgiqasUQdJLaY1eentk&#10;X5PQ3bcxuzXx37sFweMwM98wq81kjTjT4DvHCrIkBUFcO91xo+B42D0vQfiArNE4JgUX8rBZP8xW&#10;WGg38p7OVWhEhLAvUEEbQl9I6euWLPrE9cTR+3GDxRDl0Eg94Bjh1sg8TRfSYsdxocWeti3Vv9Wf&#10;VbDF7695jvXLaezLLP0oP81opFJPj9PbK4hAU7iHb+13rSDP4f9L/AFy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XNQv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335958,1998140;5651497,1665117;2967036,333023;0,0" o:connectangles="0,0,0,0"/>
                </v:shape>
                <v:shape id="Freeform 9" o:spid="_x0000_s1030" style="position:absolute;left:1057084;top:1048613;width:81977;height:21521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uQkMQA&#10;AADbAAAADwAAAGRycy9kb3ducmV2LnhtbESPQWvCQBSE74L/YXlCL1I3plJK6iaIIPYitWkvvT2y&#10;r0no7tuYXU38992C4HGYmW+YdTFaIy7U+9axguUiAUFcOd1yreDrc/f4AsIHZI3GMSm4kocin07W&#10;mGk38AddylCLCGGfoYImhC6T0lcNWfQL1xFH78f1FkOUfS11j0OEWyPTJHmWFluOCw12tG2o+i3P&#10;VsEWv4/zFKvVaej2y+SwfzeDkUo9zMbNK4hAY7iHb+03rSB9gv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bkJD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197784,2152137;5557820,1793448;2917855,358690;0,0" o:connectangles="0,0,0,0"/>
                </v:shape>
                <v:shape id="Freeform 10" o:spid="_x0000_s1031" style="position:absolute;left:1057264;top:1048929;width:81637;height:23360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II5MMA&#10;AADbAAAADwAAAGRycy9kb3ducmV2LnhtbESPT4vCMBTE7wt+h/AEL8uaWkSkaxQRFr2Ify/eHs3b&#10;tmzyUpusrd/eCILHYWZ+w8wWnTXiRo2vHCsYDRMQxLnTFRcKzqefrykIH5A1Gsek4E4eFvPexwwz&#10;7Vo+0O0YChEh7DNUUIZQZ1L6vCSLfuhq4uj9usZiiLIppG6wjXBrZJokE2mx4rhQYk2rkvK/479V&#10;sMLL/jPFfHxt6/Uo2a53pjVSqUG/W36DCNSFd/jV3mgF6RieX+IP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II5MMAAADbAAAADwAAAAAAAAAAAAAAAACYAgAAZHJzL2Rv&#10;d25yZXYueG1sUEsFBgAAAAAEAAQA9QAAAIgDAAAAAA=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163694,2335922;5534708,1946602;2905722,389320;0,0" o:connectangles="0,0,0,0"/>
                </v:shape>
                <v:shape id="Freeform 11" o:spid="_x0000_s1032" style="position:absolute;left:1057445;top:1049246;width:80736;height:24899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6tf8QA&#10;AADbAAAADwAAAGRycy9kb3ducmV2LnhtbESPQWvCQBSE74L/YXlCL1I3hlpK6iaIIPYitWkvvT2y&#10;r0no7tuYXU38992C4HGYmW+YdTFaIy7U+9axguUiAUFcOd1yreDrc/f4AsIHZI3GMSm4kocin07W&#10;mGk38AddylCLCGGfoYImhC6T0lcNWfQL1xFH78f1FkOUfS11j0OEWyPTJHmWFluOCw12tG2o+i3P&#10;VsEWv4/zFKun09Dtl8lh/24GI5V6mI2bVxCBxnAP39pvWkG6gv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+rX/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073646,2489919;5473658,2074933;2873671,414987;0,0" o:connectangles="0,0,0,0"/>
                </v:shape>
                <v:shape id="Freeform 12" o:spid="_x0000_s1033" style="position:absolute;left:1057625;top:1049562;width:80396;height:26589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CWk8QA&#10;AADbAAAADwAAAGRycy9kb3ducmV2LnhtbESPQWvCQBSE74L/YXlCL1I3hmJL6iaIIPYitWkvvT2y&#10;r0no7tuYXU38992C4HGYmW+YdTFaIy7U+9axguUiAUFcOd1yreDrc/f4AsIHZI3GMSm4kocin07W&#10;mGk38AddylCLCGGfoYImhC6T0lcNWfQL1xFH78f1FkOUfS11j0OEWyPTJFlJiy3HhQY72jZU/ZZn&#10;q2CL38d5itXTaej2y+SwfzeDkUo9zMbNK4hAY7iHb+03rSB9hv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glpP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039556,2658811;5450546,2215676;2861537,443135;0,0" o:connectangles="0,0,0,0"/>
                </v:shape>
                <v:shape id="Freeform 13" o:spid="_x0000_s1034" style="position:absolute;left:1056843;top:1049730;width:81256;height:28426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8C4b8A&#10;AADbAAAADwAAAGRycy9kb3ducmV2LnhtbERPTYvCMBC9L/gfwgheFk0tskg1igiiF1lXvXgbmrEt&#10;JpPaRFv//eYgeHy87/mys0Y8qfGVYwXjUQKCOHe64kLB+bQZTkH4gKzROCYFL/KwXPS+5php1/If&#10;PY+hEDGEfYYKyhDqTEqfl2TRj1xNHLmrayyGCJtC6gbbGG6NTJPkR1qsODaUWNO6pPx2fFgFa7wc&#10;vlPMJ/e23o6T/fbXtEYqNeh3qxmIQF34iN/unVaQxrHxS/wBcvE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vwLhvwAAANsAAAAPAAAAAAAAAAAAAAAAAJgCAABkcnMvZG93bnJl&#10;di54bWxQSwUGAAAAAAQABAD1AAAAhAMAAAAA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125592,2842595;5508876,2368829;2892160,473766;0,0" o:connectangles="0,0,0,0"/>
                </v:shape>
                <v:shape id="Freeform 14" o:spid="_x0000_s1035" style="position:absolute;left:1056863;top:1050046;width:81396;height:30115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OnesQA&#10;AADbAAAADwAAAGRycy9kb3ducmV2LnhtbESPQWvCQBSE74L/YXlCL1I3hiJt6iaIIPYitWkvvT2y&#10;r0no7tuYXU38992C4HGYmW+YdTFaIy7U+9axguUiAUFcOd1yreDrc/f4DMIHZI3GMSm4kocin07W&#10;mGk38AddylCLCGGfoYImhC6T0lcNWfQL1xFH78f1FkOUfS11j0OEWyPTJFlJiy3HhQY72jZU/ZZn&#10;q2CL38d5itXTaej2y+SwfzeDkUo9zMbNK4hAY7iHb+03rSB9gf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zp3r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139628,3011486;5518392,2509572;2897156,501914;0,0" o:connectangles="0,0,0,0"/>
                </v:shape>
                <v:shape id="Freeform 15" o:spid="_x0000_s1036" style="position:absolute;left:1057204;top:1050363;width:80656;height:31804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/KPMUA&#10;AADcAAAADwAAAGRycy9kb3ducmV2LnhtbESPQWvCQBSE70L/w/IEL0U3plYkzUaKUOylaNWLt0f2&#10;NQnuvk2zq0n/fbdQ8DjMzDdMvh6sETfqfONYwXyWgCAunW64UnA6vk1XIHxA1mgck4If8rAuHkY5&#10;Ztr1/Em3Q6hEhLDPUEEdQptJ6cuaLPqZa4mj9+U6iyHKrpK6wz7CrZFpkiylxYbjQo0tbWoqL4er&#10;VbDB8/4xxXLx3bfbefKx3ZneSKUm4+H1BUSgIdzD/+13reDpOYW/M/EIy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38o8xQAAANwAAAAPAAAAAAAAAAAAAAAAAJgCAABkcnMv&#10;ZG93bnJldi54bWxQSwUGAAAAAAQABAD1AAAAigMAAAAA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065622,3180377;5468218,2650314;2870815,530063;0,0" o:connectangles="0,0,0,0"/>
                </v:shape>
              </v:group>
            </w:pict>
          </mc:Fallback>
        </mc:AlternateContent>
      </w:r>
      <w:r w:rsidR="001829DB">
        <w:rPr>
          <w:rFonts w:eastAsia="Arial Unicode MS"/>
          <w:noProof/>
        </w:rPr>
        <w:object w:dxaOrig="1440" w:dyaOrig="1440">
          <v:shape id="_x0000_s1133" type="#_x0000_t75" style="position:absolute;margin-left:392.2pt;margin-top:-52.35pt;width:118pt;height:59.3pt;z-index:-251652096;mso-position-horizontal-relative:text;mso-position-vertical-relative:text" wrapcoords="-106 0 -106 21308 21600 21308 21600 0 -106 0">
            <v:imagedata r:id="rId8" o:title=""/>
          </v:shape>
          <o:OLEObject Type="Embed" ProgID="PBrush" ShapeID="_x0000_s1133" DrawAspect="Content" ObjectID="_1714224283" r:id="rId9"/>
        </w:obje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6410960</wp:posOffset>
                </wp:positionH>
                <wp:positionV relativeFrom="paragraph">
                  <wp:posOffset>-757555</wp:posOffset>
                </wp:positionV>
                <wp:extent cx="546735" cy="2564765"/>
                <wp:effectExtent l="0" t="0" r="5715" b="6985"/>
                <wp:wrapNone/>
                <wp:docPr id="355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" cy="2564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4524B" w:rsidRDefault="003452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2" o:spid="_x0000_s1026" type="#_x0000_t202" style="position:absolute;margin-left:504.8pt;margin-top:-59.65pt;width:43.05pt;height:20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" stroked="f">
                <v:textbox>
                  <w:txbxContent>
                    <w:p w:rsidR="0034524B" w:rsidRDefault="0034524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-2504440</wp:posOffset>
                </wp:positionH>
                <wp:positionV relativeFrom="paragraph">
                  <wp:posOffset>-800735</wp:posOffset>
                </wp:positionV>
                <wp:extent cx="759460" cy="520700"/>
                <wp:effectExtent l="0" t="0" r="2540" b="0"/>
                <wp:wrapNone/>
                <wp:docPr id="16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46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4524B" w:rsidRDefault="003452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27" type="#_x0000_t202" style="position:absolute;margin-left:-197.2pt;margin-top:-63.05pt;width:59.8pt;height:4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" stroked="f">
                <v:textbox>
                  <w:txbxContent>
                    <w:p w:rsidR="0034524B" w:rsidRDefault="0034524B"/>
                  </w:txbxContent>
                </v:textbox>
              </v:shape>
            </w:pict>
          </mc:Fallback>
        </mc:AlternateContent>
      </w:r>
    </w:p>
    <w:p w:rsidR="008B7C79" w:rsidRPr="003A2CE4" w:rsidRDefault="00BE61F4" w:rsidP="003A2CE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-633095</wp:posOffset>
                </wp:positionH>
                <wp:positionV relativeFrom="paragraph">
                  <wp:posOffset>102235</wp:posOffset>
                </wp:positionV>
                <wp:extent cx="5724525" cy="1162050"/>
                <wp:effectExtent l="0" t="0" r="0" b="0"/>
                <wp:wrapNone/>
                <wp:docPr id="15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4524B" w:rsidRPr="000B1D9D" w:rsidRDefault="0034524B" w:rsidP="00312DB8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30"/>
                                <w:szCs w:val="30"/>
                              </w:rPr>
                            </w:pPr>
                            <w:r w:rsidRPr="000B1D9D"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>Enquête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>s</w:t>
                            </w:r>
                            <w:r w:rsidRPr="000B1D9D"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 xml:space="preserve"> trimestrielle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 xml:space="preserve">s </w:t>
                            </w:r>
                            <w:r w:rsidRPr="000B1D9D"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>de</w:t>
                            </w:r>
                            <w:r w:rsidRPr="00654031"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>Conjoncture</w:t>
                            </w:r>
                          </w:p>
                          <w:p w:rsidR="0034524B" w:rsidRPr="00586E7E" w:rsidRDefault="0034524B" w:rsidP="00312DB8">
                            <w:pPr>
                              <w:rPr>
                                <w:rFonts w:ascii="Bookman Old Style" w:hAnsi="Bookman Old Style"/>
                                <w:sz w:val="12"/>
                                <w:szCs w:val="12"/>
                              </w:rPr>
                            </w:pPr>
                          </w:p>
                          <w:p w:rsidR="0034524B" w:rsidRPr="000B1D9D" w:rsidRDefault="0034524B" w:rsidP="002918E4">
                            <w:pPr>
                              <w:pStyle w:val="Paragraphedeliste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  <w:t>Secteur des s</w:t>
                            </w:r>
                            <w:r w:rsidRPr="000B1D9D"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  <w:t xml:space="preserve">ervices marchands non financiers </w:t>
                            </w:r>
                          </w:p>
                          <w:p w:rsidR="0034524B" w:rsidRPr="000B1D9D" w:rsidRDefault="0034524B" w:rsidP="002918E4">
                            <w:pPr>
                              <w:pStyle w:val="Paragraphedeliste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  <w:t>Secteur du c</w:t>
                            </w:r>
                            <w:r w:rsidRPr="000B1D9D"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  <w:t>ommerce de gros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0" o:spid="_x0000_s1028" type="#_x0000_t202" style="position:absolute;left:0;text-align:left;margin-left:-49.85pt;margin-top:8.05pt;width:450.75pt;height:9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" filled="f" stroked="f">
                <v:textbox>
                  <w:txbxContent>
                    <w:p w:rsidR="0034524B" w:rsidRPr="000B1D9D" w:rsidRDefault="0034524B" w:rsidP="00312DB8">
                      <w:pPr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30"/>
                          <w:szCs w:val="30"/>
                        </w:rPr>
                      </w:pPr>
                      <w:r w:rsidRPr="000B1D9D"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>Enquête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>s</w:t>
                      </w:r>
                      <w:r w:rsidRPr="000B1D9D"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 xml:space="preserve"> trimestrielle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 xml:space="preserve">s </w:t>
                      </w:r>
                      <w:r w:rsidRPr="000B1D9D"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>de</w:t>
                      </w:r>
                      <w:r w:rsidRPr="00654031"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>Conjoncture</w:t>
                      </w:r>
                    </w:p>
                    <w:p w:rsidR="0034524B" w:rsidRPr="00586E7E" w:rsidRDefault="0034524B" w:rsidP="00312DB8">
                      <w:pPr>
                        <w:rPr>
                          <w:rFonts w:ascii="Bookman Old Style" w:hAnsi="Bookman Old Style"/>
                          <w:sz w:val="12"/>
                          <w:szCs w:val="12"/>
                        </w:rPr>
                      </w:pPr>
                    </w:p>
                    <w:p w:rsidR="0034524B" w:rsidRPr="000B1D9D" w:rsidRDefault="0034524B" w:rsidP="002918E4">
                      <w:pPr>
                        <w:pStyle w:val="Paragraphedeliste"/>
                        <w:numPr>
                          <w:ilvl w:val="0"/>
                          <w:numId w:val="26"/>
                        </w:numPr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  <w:t>Secteur des s</w:t>
                      </w:r>
                      <w:r w:rsidRPr="000B1D9D"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  <w:t xml:space="preserve">ervices marchands non financiers </w:t>
                      </w:r>
                    </w:p>
                    <w:p w:rsidR="0034524B" w:rsidRPr="000B1D9D" w:rsidRDefault="0034524B" w:rsidP="002918E4">
                      <w:pPr>
                        <w:pStyle w:val="Paragraphedeliste"/>
                        <w:numPr>
                          <w:ilvl w:val="0"/>
                          <w:numId w:val="26"/>
                        </w:numPr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  <w:t>Secteur du c</w:t>
                      </w:r>
                      <w:r w:rsidRPr="000B1D9D"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  <w:t>ommerce de gros</w:t>
                      </w:r>
                    </w:p>
                  </w:txbxContent>
                </v:textbox>
              </v:shape>
            </w:pict>
          </mc:Fallback>
        </mc:AlternateContent>
      </w: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3A2CE4" w:rsidRDefault="003A2CE4" w:rsidP="003A2CE4">
      <w:pPr>
        <w:spacing w:after="240" w:line="276" w:lineRule="auto"/>
        <w:ind w:right="-168"/>
        <w:jc w:val="both"/>
        <w:rPr>
          <w:rFonts w:eastAsia="Arial Unicode MS"/>
          <w:b/>
          <w:bCs/>
          <w:iCs/>
          <w:color w:val="1F497D"/>
        </w:rPr>
      </w:pPr>
      <w:bookmarkStart w:id="1" w:name="_Ref424139032"/>
    </w:p>
    <w:bookmarkEnd w:id="1"/>
    <w:p w:rsidR="00302E80" w:rsidRDefault="00BE61F4" w:rsidP="00006861">
      <w:pPr>
        <w:spacing w:after="240" w:line="276" w:lineRule="auto"/>
        <w:ind w:right="-168"/>
        <w:jc w:val="both"/>
        <w:rPr>
          <w:rFonts w:ascii="Trebuchet MS" w:eastAsia="Arial Unicode MS" w:hAnsi="Trebuchet MS"/>
          <w:b/>
          <w:bCs/>
          <w:color w:val="660033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4453255</wp:posOffset>
                </wp:positionH>
                <wp:positionV relativeFrom="paragraph">
                  <wp:posOffset>333375</wp:posOffset>
                </wp:positionV>
                <wp:extent cx="1817370" cy="285750"/>
                <wp:effectExtent l="0" t="0" r="0" b="0"/>
                <wp:wrapNone/>
                <wp:docPr id="13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737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4524B" w:rsidRPr="00305B12" w:rsidRDefault="00674698" w:rsidP="00761A66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 xml:space="preserve">Décembre </w:t>
                            </w:r>
                            <w:r w:rsidR="00E55D00">
                              <w:rPr>
                                <w:rFonts w:ascii="Trebuchet MS" w:hAnsi="Trebuchet MS"/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 xml:space="preserve"> 20</w:t>
                            </w:r>
                            <w:r w:rsidR="004D3B6B">
                              <w:rPr>
                                <w:rFonts w:ascii="Trebuchet MS" w:hAnsi="Trebuchet MS"/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29" type="#_x0000_t202" style="position:absolute;left:0;text-align:left;margin-left:350.65pt;margin-top:26.25pt;width:143.1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" stroked="f">
                <v:textbox>
                  <w:txbxContent>
                    <w:p w:rsidR="0034524B" w:rsidRPr="00305B12" w:rsidRDefault="00674698" w:rsidP="00761A66">
                      <w:pPr>
                        <w:jc w:val="center"/>
                        <w:rPr>
                          <w:rFonts w:ascii="Trebuchet MS" w:hAnsi="Trebuchet MS"/>
                          <w:b/>
                          <w:bCs/>
                          <w:color w:val="660033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b/>
                          <w:bCs/>
                          <w:color w:val="660033"/>
                          <w:sz w:val="28"/>
                          <w:szCs w:val="28"/>
                        </w:rPr>
                        <w:t xml:space="preserve">Décembre </w:t>
                      </w:r>
                      <w:r w:rsidR="00E55D00">
                        <w:rPr>
                          <w:rFonts w:ascii="Trebuchet MS" w:hAnsi="Trebuchet MS"/>
                          <w:b/>
                          <w:bCs/>
                          <w:color w:val="660033"/>
                          <w:sz w:val="28"/>
                          <w:szCs w:val="28"/>
                        </w:rPr>
                        <w:t xml:space="preserve"> 20</w:t>
                      </w:r>
                      <w:r w:rsidR="004D3B6B">
                        <w:rPr>
                          <w:rFonts w:ascii="Trebuchet MS" w:hAnsi="Trebuchet MS"/>
                          <w:b/>
                          <w:bCs/>
                          <w:color w:val="660033"/>
                          <w:sz w:val="28"/>
                          <w:szCs w:val="28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</w:p>
    <w:p w:rsidR="00302E80" w:rsidRDefault="00BE61F4" w:rsidP="00006861">
      <w:pPr>
        <w:spacing w:after="240" w:line="276" w:lineRule="auto"/>
        <w:ind w:right="-168"/>
        <w:jc w:val="both"/>
        <w:rPr>
          <w:rFonts w:ascii="Trebuchet MS" w:eastAsia="Arial Unicode MS" w:hAnsi="Trebuchet MS"/>
          <w:b/>
          <w:bCs/>
          <w:color w:val="660033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36830</wp:posOffset>
                </wp:positionH>
                <wp:positionV relativeFrom="paragraph">
                  <wp:posOffset>305435</wp:posOffset>
                </wp:positionV>
                <wp:extent cx="6172200" cy="951230"/>
                <wp:effectExtent l="0" t="0" r="19050" b="20320"/>
                <wp:wrapNone/>
                <wp:docPr id="7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951230"/>
                        </a:xfrm>
                        <a:prstGeom prst="rect">
                          <a:avLst/>
                        </a:prstGeom>
                        <a:solidFill>
                          <a:srgbClr val="FBD4B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24B" w:rsidRPr="00B36EE1" w:rsidRDefault="0034524B" w:rsidP="00674698">
                            <w:pPr>
                              <w:tabs>
                                <w:tab w:val="left" w:pos="0"/>
                              </w:tabs>
                              <w:suppressAutoHyphens/>
                              <w:spacing w:before="120" w:after="120" w:line="280" w:lineRule="exact"/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La présente note relate les principales appréciations</w:t>
                            </w:r>
                            <w: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des chefs d’entreprises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tel</w:t>
                            </w:r>
                            <w: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les 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qu’</w:t>
                            </w:r>
                            <w: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elles 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ressort</w:t>
                            </w:r>
                            <w: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ent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des enquêtes de conjoncture réalisées par le HCP au titre du </w:t>
                            </w:r>
                            <w:r w:rsidR="00674698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4</w:t>
                            </w:r>
                            <w:r w:rsidR="007D5F11" w:rsidRPr="008607D8">
                              <w:rPr>
                                <w:rFonts w:eastAsia="Arial Unicode MS"/>
                                <w:sz w:val="20"/>
                                <w:szCs w:val="20"/>
                                <w:vertAlign w:val="superscript"/>
                              </w:rPr>
                              <w:t>ème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trimestre 20</w:t>
                            </w:r>
                            <w:r w:rsidR="00761A66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2</w:t>
                            </w:r>
                            <w:r w:rsidR="00301BCF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1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auprès des entreprises opérant dans les secteurs des services marchands non financiers </w:t>
                            </w:r>
                            <w: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et 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du commerce de gros. Ces appréciations portent sur l’évolution de l’activité au cours du </w:t>
                            </w:r>
                            <w:r w:rsidR="00674698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3</w:t>
                            </w:r>
                            <w:r w:rsidR="00674698" w:rsidRPr="00674698">
                              <w:rPr>
                                <w:rFonts w:eastAsia="Arial Unicode MS"/>
                                <w:sz w:val="20"/>
                                <w:szCs w:val="20"/>
                                <w:vertAlign w:val="superscript"/>
                              </w:rPr>
                              <w:t>ème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trimestre</w:t>
                            </w:r>
                            <w:r w:rsidR="00D20A1A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2021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et les anticipations pour le </w:t>
                            </w:r>
                            <w:r w:rsidR="00674698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4</w:t>
                            </w:r>
                            <w:r w:rsidR="007D5F11" w:rsidRPr="008607D8">
                              <w:rPr>
                                <w:rFonts w:eastAsia="Arial Unicode MS"/>
                                <w:sz w:val="20"/>
                                <w:szCs w:val="20"/>
                                <w:vertAlign w:val="superscript"/>
                              </w:rPr>
                              <w:t>ème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trimestre 20</w:t>
                            </w:r>
                            <w:r w:rsidR="00301BCF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21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C808F4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30" type="#_x0000_t202" style="position:absolute;left:0;text-align:left;margin-left:2.9pt;margin-top:24.05pt;width:486pt;height:7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" fillcolor="#fbd4b4">
                <v:textbox>
                  <w:txbxContent>
                    <w:p w:rsidR="0034524B" w:rsidRPr="00B36EE1" w:rsidRDefault="0034524B" w:rsidP="00674698">
                      <w:pPr>
                        <w:tabs>
                          <w:tab w:val="left" w:pos="0"/>
                        </w:tabs>
                        <w:suppressAutoHyphens/>
                        <w:spacing w:before="120" w:after="120" w:line="280" w:lineRule="exact"/>
                        <w:jc w:val="both"/>
                        <w:rPr>
                          <w:rFonts w:eastAsia="Arial Unicode MS"/>
                          <w:sz w:val="20"/>
                          <w:szCs w:val="20"/>
                        </w:rPr>
                      </w:pP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>La présente note relate les principales appréciations</w:t>
                      </w:r>
                      <w:r>
                        <w:rPr>
                          <w:rFonts w:eastAsia="Arial Unicode MS"/>
                          <w:sz w:val="20"/>
                          <w:szCs w:val="20"/>
                        </w:rPr>
                        <w:t xml:space="preserve"> des chefs d’entreprises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 tel</w:t>
                      </w:r>
                      <w:r>
                        <w:rPr>
                          <w:rFonts w:eastAsia="Arial Unicode MS"/>
                          <w:sz w:val="20"/>
                          <w:szCs w:val="20"/>
                        </w:rPr>
                        <w:t xml:space="preserve">les 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>qu’</w:t>
                      </w:r>
                      <w:r>
                        <w:rPr>
                          <w:rFonts w:eastAsia="Arial Unicode MS"/>
                          <w:sz w:val="20"/>
                          <w:szCs w:val="20"/>
                        </w:rPr>
                        <w:t xml:space="preserve">elles 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>ressort</w:t>
                      </w:r>
                      <w:r>
                        <w:rPr>
                          <w:rFonts w:eastAsia="Arial Unicode MS"/>
                          <w:sz w:val="20"/>
                          <w:szCs w:val="20"/>
                        </w:rPr>
                        <w:t>ent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 des enquêtes de conjoncture réalisées par le HCP au titre du </w:t>
                      </w:r>
                      <w:r w:rsidR="00674698">
                        <w:rPr>
                          <w:rFonts w:eastAsia="Arial Unicode MS"/>
                          <w:sz w:val="20"/>
                          <w:szCs w:val="20"/>
                        </w:rPr>
                        <w:t>4</w:t>
                      </w:r>
                      <w:r w:rsidR="007D5F11" w:rsidRPr="008607D8">
                        <w:rPr>
                          <w:rFonts w:eastAsia="Arial Unicode MS"/>
                          <w:sz w:val="20"/>
                          <w:szCs w:val="20"/>
                          <w:vertAlign w:val="superscript"/>
                        </w:rPr>
                        <w:t>ème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>trimestre 20</w:t>
                      </w:r>
                      <w:r w:rsidR="00761A66">
                        <w:rPr>
                          <w:rFonts w:eastAsia="Arial Unicode MS"/>
                          <w:sz w:val="20"/>
                          <w:szCs w:val="20"/>
                        </w:rPr>
                        <w:t>2</w:t>
                      </w:r>
                      <w:r w:rsidR="00301BCF">
                        <w:rPr>
                          <w:rFonts w:eastAsia="Arial Unicode MS"/>
                          <w:sz w:val="20"/>
                          <w:szCs w:val="20"/>
                        </w:rPr>
                        <w:t>1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auprès des entreprises opérant dans les secteurs des services marchands non financiers </w:t>
                      </w:r>
                      <w:r>
                        <w:rPr>
                          <w:rFonts w:eastAsia="Arial Unicode MS"/>
                          <w:sz w:val="20"/>
                          <w:szCs w:val="20"/>
                        </w:rPr>
                        <w:t xml:space="preserve">et 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du commerce de gros. Ces appréciations portent sur l’évolution de l’activité au cours du </w:t>
                      </w:r>
                      <w:r w:rsidR="00674698">
                        <w:rPr>
                          <w:rFonts w:eastAsia="Arial Unicode MS"/>
                          <w:sz w:val="20"/>
                          <w:szCs w:val="20"/>
                        </w:rPr>
                        <w:t>3</w:t>
                      </w:r>
                      <w:r w:rsidR="00674698" w:rsidRPr="00674698">
                        <w:rPr>
                          <w:rFonts w:eastAsia="Arial Unicode MS"/>
                          <w:sz w:val="20"/>
                          <w:szCs w:val="20"/>
                          <w:vertAlign w:val="superscript"/>
                        </w:rPr>
                        <w:t>ème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>trimestre</w:t>
                      </w:r>
                      <w:r w:rsidR="00D20A1A">
                        <w:rPr>
                          <w:rFonts w:eastAsia="Arial Unicode MS"/>
                          <w:sz w:val="20"/>
                          <w:szCs w:val="20"/>
                        </w:rPr>
                        <w:t>2021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 et les anticipations pour le </w:t>
                      </w:r>
                      <w:r w:rsidR="00674698">
                        <w:rPr>
                          <w:rFonts w:eastAsia="Arial Unicode MS"/>
                          <w:sz w:val="20"/>
                          <w:szCs w:val="20"/>
                        </w:rPr>
                        <w:t>4</w:t>
                      </w:r>
                      <w:r w:rsidR="007D5F11" w:rsidRPr="008607D8">
                        <w:rPr>
                          <w:rFonts w:eastAsia="Arial Unicode MS"/>
                          <w:sz w:val="20"/>
                          <w:szCs w:val="20"/>
                          <w:vertAlign w:val="superscript"/>
                        </w:rPr>
                        <w:t>ème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>trimestre 20</w:t>
                      </w:r>
                      <w:r w:rsidR="00301BCF">
                        <w:rPr>
                          <w:rFonts w:eastAsia="Arial Unicode MS"/>
                          <w:sz w:val="20"/>
                          <w:szCs w:val="20"/>
                        </w:rPr>
                        <w:t>21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. </w:t>
                      </w:r>
                      <w:r w:rsidR="00C808F4">
                        <w:rPr>
                          <w:rFonts w:eastAsia="Arial Unicode MS"/>
                          <w:sz w:val="20"/>
                          <w:szCs w:val="20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2336" behindDoc="0" locked="0" layoutInCell="1" allowOverlap="1">
                <wp:simplePos x="0" y="0"/>
                <wp:positionH relativeFrom="column">
                  <wp:posOffset>-747395</wp:posOffset>
                </wp:positionH>
                <wp:positionV relativeFrom="paragraph">
                  <wp:posOffset>200660</wp:posOffset>
                </wp:positionV>
                <wp:extent cx="7361555" cy="635"/>
                <wp:effectExtent l="0" t="0" r="10795" b="37465"/>
                <wp:wrapNone/>
                <wp:docPr id="6" name="AutoShap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61555" cy="635"/>
                        </a:xfrm>
                        <a:prstGeom prst="bentConnector3">
                          <a:avLst>
                            <a:gd name="adj1" fmla="val 49995"/>
                          </a:avLst>
                        </a:prstGeom>
                        <a:noFill/>
                        <a:ln w="9525">
                          <a:solidFill>
                            <a:srgbClr val="E36C0A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680914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50" o:spid="_x0000_s1026" type="#_x0000_t34" style="position:absolute;margin-left:-58.85pt;margin-top:15.8pt;width:579.65pt;height:.05pt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" adj="10799" strokecolor="#e36c0a"/>
            </w:pict>
          </mc:Fallback>
        </mc:AlternateContent>
      </w: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A27E02" w:rsidRPr="008661AF" w:rsidRDefault="00A27E02" w:rsidP="00A27E02">
      <w:pPr>
        <w:spacing w:after="120" w:line="276" w:lineRule="auto"/>
        <w:jc w:val="both"/>
        <w:rPr>
          <w:rFonts w:eastAsia="Arial Unicode MS"/>
        </w:rPr>
      </w:pPr>
    </w:p>
    <w:p w:rsidR="00A27E02" w:rsidRPr="00B33B02" w:rsidRDefault="00A27E02" w:rsidP="00674698">
      <w:pPr>
        <w:pStyle w:val="Paragraphedeliste"/>
        <w:numPr>
          <w:ilvl w:val="0"/>
          <w:numId w:val="28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bookmarkStart w:id="2" w:name="_Ref91492169"/>
      <w:r w:rsidRPr="00B33B02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Appréciations des chefs d’entreprises pour le </w:t>
      </w:r>
      <w:r w:rsidR="00674698">
        <w:rPr>
          <w:rFonts w:ascii="Trebuchet MS" w:eastAsia="Arial Unicode MS" w:hAnsi="Trebuchet MS"/>
          <w:b/>
          <w:bCs/>
          <w:color w:val="660033"/>
          <w:sz w:val="26"/>
          <w:szCs w:val="26"/>
        </w:rPr>
        <w:t>3</w:t>
      </w:r>
      <w:r w:rsidR="00674698" w:rsidRPr="00674698">
        <w:rPr>
          <w:rFonts w:ascii="Trebuchet MS" w:eastAsia="Arial Unicode MS" w:hAnsi="Trebuchet MS"/>
          <w:b/>
          <w:bCs/>
          <w:color w:val="660033"/>
          <w:sz w:val="26"/>
          <w:szCs w:val="26"/>
          <w:vertAlign w:val="superscript"/>
        </w:rPr>
        <w:t>ème</w:t>
      </w:r>
      <w:r w:rsidRPr="00B33B02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trimestre </w:t>
      </w:r>
      <w:r w:rsidR="00D20A1A">
        <w:rPr>
          <w:rFonts w:ascii="Trebuchet MS" w:eastAsia="Arial Unicode MS" w:hAnsi="Trebuchet MS"/>
          <w:b/>
          <w:bCs/>
          <w:color w:val="660033"/>
          <w:sz w:val="26"/>
          <w:szCs w:val="26"/>
        </w:rPr>
        <w:t>2021</w:t>
      </w:r>
      <w:bookmarkEnd w:id="2"/>
    </w:p>
    <w:p w:rsidR="00A27E02" w:rsidRPr="007F6E9E" w:rsidRDefault="00BE61F4" w:rsidP="00A27E02">
      <w:pPr>
        <w:rPr>
          <w:rFonts w:ascii="Trebuchet MS" w:eastAsia="Arial Unicode MS" w:hAnsi="Trebuchet MS"/>
          <w:b/>
          <w:bCs/>
          <w:color w:val="660033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-2504440</wp:posOffset>
                </wp:positionH>
                <wp:positionV relativeFrom="paragraph">
                  <wp:posOffset>-800735</wp:posOffset>
                </wp:positionV>
                <wp:extent cx="759460" cy="520700"/>
                <wp:effectExtent l="0" t="0" r="2540" b="0"/>
                <wp:wrapNone/>
                <wp:docPr id="11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46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27E02" w:rsidRDefault="00A27E02" w:rsidP="00A27E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97.2pt;margin-top:-63.05pt;width:59.8pt;height: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" stroked="f">
                <v:textbox>
                  <w:txbxContent>
                    <w:p w:rsidR="00A27E02" w:rsidRDefault="00A27E02" w:rsidP="00A27E02"/>
                  </w:txbxContent>
                </v:textbox>
              </v:shape>
            </w:pict>
          </mc:Fallback>
        </mc:AlternateContent>
      </w:r>
    </w:p>
    <w:p w:rsidR="00A27E02" w:rsidRPr="00B33B02" w:rsidRDefault="00A27E02" w:rsidP="00A27E02">
      <w:pPr>
        <w:pStyle w:val="Paragraphedeliste"/>
        <w:numPr>
          <w:ilvl w:val="1"/>
          <w:numId w:val="28"/>
        </w:numPr>
        <w:spacing w:after="120"/>
        <w:ind w:left="567" w:hanging="567"/>
        <w:jc w:val="both"/>
        <w:rPr>
          <w:rFonts w:ascii="Trebuchet MS" w:eastAsia="Arial Unicode MS" w:hAnsi="Trebuchet MS"/>
          <w:b/>
          <w:bCs/>
          <w:color w:val="660033"/>
        </w:rPr>
      </w:pPr>
      <w:r w:rsidRPr="00B33B02">
        <w:rPr>
          <w:rFonts w:ascii="Trebuchet MS" w:eastAsia="Arial Unicode MS" w:hAnsi="Trebuchet MS"/>
          <w:b/>
          <w:bCs/>
          <w:color w:val="660033"/>
        </w:rPr>
        <w:t>Secteur des Services marchands non financiers</w:t>
      </w:r>
    </w:p>
    <w:p w:rsidR="00A27E02" w:rsidRPr="00711A4F" w:rsidRDefault="00A27E02" w:rsidP="00A27E02">
      <w:pPr>
        <w:spacing w:before="120" w:after="120" w:line="276" w:lineRule="auto"/>
        <w:jc w:val="both"/>
        <w:rPr>
          <w:rFonts w:eastAsia="Arial Unicode MS"/>
          <w:sz w:val="14"/>
          <w:szCs w:val="14"/>
        </w:rPr>
        <w:sectPr w:rsidR="00A27E02" w:rsidRPr="00711A4F" w:rsidSect="00BC3F14">
          <w:footerReference w:type="default" r:id="rId10"/>
          <w:footerReference w:type="first" r:id="rId11"/>
          <w:type w:val="continuous"/>
          <w:pgSz w:w="11906" w:h="16838"/>
          <w:pgMar w:top="1258" w:right="1417" w:bottom="1258" w:left="1417" w:header="708" w:footer="541" w:gutter="0"/>
          <w:cols w:space="708"/>
          <w:docGrid w:linePitch="360"/>
        </w:sectPr>
      </w:pPr>
    </w:p>
    <w:p w:rsidR="00A27E02" w:rsidRDefault="00BA3B72" w:rsidP="00D2644B">
      <w:pPr>
        <w:spacing w:before="200" w:line="276" w:lineRule="auto"/>
        <w:jc w:val="both"/>
      </w:pP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2870200</wp:posOffset>
            </wp:positionH>
            <wp:positionV relativeFrom="margin">
              <wp:posOffset>4307205</wp:posOffset>
            </wp:positionV>
            <wp:extent cx="3286125" cy="3208655"/>
            <wp:effectExtent l="0" t="0" r="635" b="0"/>
            <wp:wrapSquare wrapText="bothSides"/>
            <wp:docPr id="123" name="Graphiqu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  <w:r w:rsidR="002379E8" w:rsidRPr="002379E8">
        <w:rPr>
          <w:noProof/>
        </w:rPr>
        <w:t xml:space="preserve">Au </w:t>
      </w:r>
      <w:r w:rsidR="002379E8">
        <w:rPr>
          <w:noProof/>
        </w:rPr>
        <w:t>3</w:t>
      </w:r>
      <w:r w:rsidR="002379E8" w:rsidRPr="002379E8">
        <w:rPr>
          <w:noProof/>
          <w:vertAlign w:val="superscript"/>
        </w:rPr>
        <w:t>ème</w:t>
      </w:r>
      <w:r w:rsidR="002379E8" w:rsidRPr="002379E8">
        <w:rPr>
          <w:noProof/>
        </w:rPr>
        <w:t xml:space="preserve"> trimestre 2021, l’activité des </w:t>
      </w:r>
      <w:r w:rsidR="002379E8" w:rsidRPr="00BF738F">
        <w:rPr>
          <w:rFonts w:ascii="Trebuchet MS" w:eastAsia="Arial Unicode MS" w:hAnsi="Trebuchet MS" w:cs="Arial"/>
          <w:b/>
          <w:bCs/>
          <w:color w:val="660033"/>
          <w:sz w:val="22"/>
          <w:szCs w:val="22"/>
          <w:lang w:eastAsia="en-US"/>
        </w:rPr>
        <w:t>services marchands non financiers</w:t>
      </w:r>
      <w:r w:rsidR="002379E8" w:rsidRPr="002379E8">
        <w:rPr>
          <w:noProof/>
        </w:rPr>
        <w:t xml:space="preserve"> aurait connu une </w:t>
      </w:r>
      <w:r w:rsidR="002379E8">
        <w:rPr>
          <w:noProof/>
        </w:rPr>
        <w:t xml:space="preserve">hausse </w:t>
      </w:r>
      <w:r w:rsidR="002379E8" w:rsidRPr="002379E8">
        <w:rPr>
          <w:noProof/>
        </w:rPr>
        <w:t xml:space="preserve"> selon 5</w:t>
      </w:r>
      <w:r w:rsidR="00D2644B">
        <w:rPr>
          <w:noProof/>
        </w:rPr>
        <w:t>7</w:t>
      </w:r>
      <w:r w:rsidR="002379E8" w:rsidRPr="002379E8">
        <w:rPr>
          <w:noProof/>
        </w:rPr>
        <w:t xml:space="preserve">% des patrons et une </w:t>
      </w:r>
      <w:r w:rsidR="002379E8">
        <w:rPr>
          <w:noProof/>
        </w:rPr>
        <w:t>baisse</w:t>
      </w:r>
      <w:r w:rsidR="002379E8" w:rsidRPr="002379E8">
        <w:rPr>
          <w:noProof/>
        </w:rPr>
        <w:t xml:space="preserve"> selon 2</w:t>
      </w:r>
      <w:r w:rsidR="007A041C">
        <w:rPr>
          <w:noProof/>
        </w:rPr>
        <w:t>2</w:t>
      </w:r>
      <w:r w:rsidR="002379E8" w:rsidRPr="002379E8">
        <w:rPr>
          <w:noProof/>
        </w:rPr>
        <w:t xml:space="preserve">%. Cette évolution aurait été le </w:t>
      </w:r>
      <w:r w:rsidR="00BF738F" w:rsidRPr="002379E8">
        <w:rPr>
          <w:noProof/>
        </w:rPr>
        <w:t>résultat</w:t>
      </w:r>
      <w:r w:rsidR="00BF738F">
        <w:rPr>
          <w:noProof/>
        </w:rPr>
        <w:t>,</w:t>
      </w:r>
      <w:r w:rsidR="002379E8">
        <w:t xml:space="preserve"> d’une part, de </w:t>
      </w:r>
      <w:r w:rsidR="002379E8" w:rsidRPr="000B1D9D">
        <w:t xml:space="preserve">la </w:t>
      </w:r>
      <w:r w:rsidR="002379E8">
        <w:rPr>
          <w:noProof/>
        </w:rPr>
        <w:t xml:space="preserve">de la hausse </w:t>
      </w:r>
      <w:r w:rsidR="00C76C70">
        <w:t>des activités de</w:t>
      </w:r>
      <w:r w:rsidR="00225921">
        <w:t>s</w:t>
      </w:r>
      <w:r w:rsidR="00C76C70" w:rsidRPr="00070C2B">
        <w:t>«Transportsaériens»</w:t>
      </w:r>
      <w:r w:rsidR="00C76C70">
        <w:t xml:space="preserve">, </w:t>
      </w:r>
      <w:r w:rsidR="00225921">
        <w:t xml:space="preserve">des </w:t>
      </w:r>
      <w:r w:rsidR="00A41A84">
        <w:t>« </w:t>
      </w:r>
      <w:r w:rsidR="00A41A84" w:rsidRPr="00070C2B">
        <w:t>Télécommunications »</w:t>
      </w:r>
      <w:r w:rsidR="00225921">
        <w:t xml:space="preserve"> et des </w:t>
      </w:r>
      <w:r w:rsidR="00C76C70" w:rsidRPr="00070C2B">
        <w:t>«</w:t>
      </w:r>
      <w:r w:rsidR="00225921" w:rsidRPr="00225921">
        <w:t>Transports terrestres et transport par conduites</w:t>
      </w:r>
      <w:r w:rsidR="00C76C70" w:rsidRPr="00070C2B">
        <w:t>»</w:t>
      </w:r>
      <w:r w:rsidR="00225921">
        <w:t xml:space="preserve"> et,</w:t>
      </w:r>
      <w:r w:rsidR="002379E8">
        <w:t xml:space="preserve"> d’autre part, </w:t>
      </w:r>
      <w:r w:rsidR="002379E8" w:rsidRPr="000B1D9D">
        <w:t xml:space="preserve">de la </w:t>
      </w:r>
      <w:r w:rsidR="00BF738F">
        <w:t>baisse d’activité</w:t>
      </w:r>
      <w:r w:rsidR="002379E8" w:rsidRPr="000B1D9D">
        <w:t xml:space="preserve"> enregistrée au niveau des</w:t>
      </w:r>
      <w:r w:rsidR="002379E8">
        <w:t xml:space="preserve"> branches des « </w:t>
      </w:r>
      <w:r w:rsidR="002379E8" w:rsidRPr="002379E8">
        <w:t>Transports par eau</w:t>
      </w:r>
      <w:r w:rsidR="002379E8">
        <w:t xml:space="preserve"> » et de </w:t>
      </w:r>
      <w:r w:rsidR="00520ECD">
        <w:t>l’</w:t>
      </w:r>
      <w:r w:rsidR="002379E8">
        <w:t>« </w:t>
      </w:r>
      <w:r w:rsidR="002379E8" w:rsidRPr="002379E8">
        <w:t>Entreposage et services auxiliaires des transports</w:t>
      </w:r>
      <w:r w:rsidR="00974208">
        <w:t> »</w:t>
      </w:r>
      <w:r w:rsidR="0077508E">
        <w:t>.</w:t>
      </w:r>
      <w:r w:rsidR="00A27E02" w:rsidRPr="001B5FC9">
        <w:t xml:space="preserve">Le taux d’utilisation des capacités de prestation (TUC) </w:t>
      </w:r>
      <w:r w:rsidR="00A27E02">
        <w:t>du secteur se serait établi à 7</w:t>
      </w:r>
      <w:r w:rsidR="00C76C70">
        <w:t>7</w:t>
      </w:r>
      <w:r w:rsidR="00A27E02" w:rsidRPr="001B5FC9">
        <w:t>%</w:t>
      </w:r>
      <w:r w:rsidR="00A27E02" w:rsidRPr="00F16808">
        <w:t>.</w:t>
      </w:r>
    </w:p>
    <w:p w:rsidR="00A41A52" w:rsidRDefault="00A41A52" w:rsidP="00E17EB4">
      <w:pPr>
        <w:spacing w:before="240" w:line="276" w:lineRule="auto"/>
        <w:jc w:val="both"/>
      </w:pPr>
      <w:r w:rsidRPr="00230AAB">
        <w:t>Les carnets de commande du secteur sont jugés d’un niveau</w:t>
      </w:r>
      <w:r w:rsidR="009F5FD5">
        <w:t>normal par 56% des patrons</w:t>
      </w:r>
      <w:r w:rsidR="00BF738F">
        <w:t xml:space="preserve"> et inférieur à la normale selon 40%. </w:t>
      </w:r>
      <w:r w:rsidRPr="00230AAB">
        <w:t xml:space="preserve">L’emploi aurait connu une </w:t>
      </w:r>
      <w:r w:rsidR="00C76C70">
        <w:t>stabilité</w:t>
      </w:r>
      <w:r w:rsidR="00225921">
        <w:t xml:space="preserve">selon </w:t>
      </w:r>
      <w:r w:rsidR="002B69E5">
        <w:t>6</w:t>
      </w:r>
      <w:r w:rsidR="00E17EB4">
        <w:t>7</w:t>
      </w:r>
      <w:r w:rsidR="002B69E5" w:rsidRPr="00230AAB">
        <w:t>%</w:t>
      </w:r>
      <w:r w:rsidR="00225921">
        <w:t xml:space="preserve"> des chefs d’entreprises</w:t>
      </w:r>
      <w:r w:rsidR="009D3A82">
        <w:t>.</w:t>
      </w:r>
    </w:p>
    <w:p w:rsidR="00A27E02" w:rsidRDefault="00A27E02" w:rsidP="00A27E02">
      <w:pPr>
        <w:spacing w:before="360" w:line="276" w:lineRule="auto"/>
        <w:jc w:val="both"/>
      </w:pPr>
    </w:p>
    <w:p w:rsidR="00272F91" w:rsidRDefault="00272F91">
      <w:pPr>
        <w:rPr>
          <w:rFonts w:ascii="Trebuchet MS" w:eastAsia="Arial Unicode MS" w:hAnsi="Trebuchet MS" w:cs="Arial"/>
          <w:b/>
          <w:bCs/>
          <w:color w:val="660033"/>
          <w:sz w:val="22"/>
          <w:szCs w:val="22"/>
          <w:lang w:eastAsia="en-US"/>
        </w:rPr>
      </w:pPr>
      <w:r>
        <w:rPr>
          <w:rFonts w:ascii="Trebuchet MS" w:eastAsia="Arial Unicode MS" w:hAnsi="Trebuchet MS"/>
          <w:b/>
          <w:bCs/>
          <w:color w:val="660033"/>
        </w:rPr>
        <w:br w:type="page"/>
      </w:r>
    </w:p>
    <w:p w:rsidR="00A27E02" w:rsidRPr="00B33B02" w:rsidRDefault="00BA3B72" w:rsidP="00A27E02">
      <w:pPr>
        <w:pStyle w:val="Paragraphedeliste"/>
        <w:numPr>
          <w:ilvl w:val="1"/>
          <w:numId w:val="28"/>
        </w:numPr>
        <w:spacing w:after="120"/>
        <w:ind w:left="567" w:hanging="567"/>
        <w:jc w:val="both"/>
        <w:rPr>
          <w:rFonts w:ascii="Trebuchet MS" w:eastAsia="Arial Unicode MS" w:hAnsi="Trebuchet MS"/>
          <w:b/>
          <w:bCs/>
          <w:color w:val="660033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52096" behindDoc="0" locked="0" layoutInCell="1" allowOverlap="1">
            <wp:simplePos x="0" y="0"/>
            <wp:positionH relativeFrom="margin">
              <wp:posOffset>3148330</wp:posOffset>
            </wp:positionH>
            <wp:positionV relativeFrom="margin">
              <wp:posOffset>9802495</wp:posOffset>
            </wp:positionV>
            <wp:extent cx="3429000" cy="3400425"/>
            <wp:effectExtent l="0" t="635" r="0" b="0"/>
            <wp:wrapSquare wrapText="bothSides"/>
            <wp:docPr id="122" name="Graphiqu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  <w:r w:rsidR="00A27E02" w:rsidRPr="00B33B02">
        <w:rPr>
          <w:rFonts w:ascii="Trebuchet MS" w:eastAsia="Arial Unicode MS" w:hAnsi="Trebuchet MS"/>
          <w:b/>
          <w:bCs/>
          <w:color w:val="660033"/>
        </w:rPr>
        <w:t>Secteur du Commerce de gros</w:t>
      </w:r>
    </w:p>
    <w:p w:rsidR="002B2B90" w:rsidRDefault="00A62485" w:rsidP="000879A1">
      <w:pPr>
        <w:spacing w:before="240" w:after="120" w:line="276" w:lineRule="auto"/>
        <w:ind w:right="170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posOffset>2895600</wp:posOffset>
            </wp:positionH>
            <wp:positionV relativeFrom="margin">
              <wp:posOffset>379730</wp:posOffset>
            </wp:positionV>
            <wp:extent cx="3466465" cy="2991485"/>
            <wp:effectExtent l="0" t="0" r="0" b="0"/>
            <wp:wrapSquare wrapText="bothSides"/>
            <wp:docPr id="113" name="Graphiqu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  <w:r w:rsidR="002B2B90">
        <w:rPr>
          <w:rFonts w:eastAsia="Arial Unicode MS"/>
        </w:rPr>
        <w:t xml:space="preserve">Au </w:t>
      </w:r>
      <w:r w:rsidR="00DF7EED">
        <w:rPr>
          <w:rFonts w:eastAsia="Arial Unicode MS"/>
        </w:rPr>
        <w:t>3</w:t>
      </w:r>
      <w:r w:rsidR="00DF7EED" w:rsidRPr="00601520">
        <w:rPr>
          <w:rFonts w:eastAsia="Arial Unicode MS"/>
          <w:vertAlign w:val="superscript"/>
        </w:rPr>
        <w:t>ème</w:t>
      </w:r>
      <w:r w:rsidR="002B2B90">
        <w:rPr>
          <w:rFonts w:eastAsia="Arial Unicode MS"/>
        </w:rPr>
        <w:t xml:space="preserve"> trimestre</w:t>
      </w:r>
      <w:r w:rsidR="002B2B90">
        <w:t>202</w:t>
      </w:r>
      <w:r w:rsidR="005E7CC4">
        <w:t>1</w:t>
      </w:r>
      <w:r w:rsidR="002B2B90" w:rsidRPr="00BC40A2">
        <w:rPr>
          <w:rFonts w:eastAsia="Arial Unicode MS"/>
        </w:rPr>
        <w:t xml:space="preserve">, les ventes </w:t>
      </w:r>
      <w:r w:rsidR="002B2B90" w:rsidRPr="00652D8B">
        <w:rPr>
          <w:rFonts w:eastAsia="Arial Unicode MS"/>
          <w:b/>
          <w:bCs/>
          <w:color w:val="660033"/>
          <w:lang w:eastAsia="en-US"/>
        </w:rPr>
        <w:t>du secteur du Commerce de gros</w:t>
      </w:r>
      <w:r w:rsidR="002B2B90" w:rsidRPr="00BC40A2">
        <w:rPr>
          <w:rFonts w:eastAsia="Arial Unicode MS"/>
        </w:rPr>
        <w:t xml:space="preserve"> sur le marché local auraient connu une</w:t>
      </w:r>
      <w:r w:rsidR="00DF7EED">
        <w:rPr>
          <w:rFonts w:eastAsia="Arial Unicode MS"/>
        </w:rPr>
        <w:t xml:space="preserve"> stabilité selon 58</w:t>
      </w:r>
      <w:r w:rsidR="00DF7EED" w:rsidRPr="00BC40A2">
        <w:rPr>
          <w:rFonts w:eastAsia="Arial Unicode MS"/>
        </w:rPr>
        <w:t>%</w:t>
      </w:r>
      <w:r w:rsidR="000879A1">
        <w:rPr>
          <w:rFonts w:eastAsia="Arial Unicode MS"/>
        </w:rPr>
        <w:t xml:space="preserve"> et </w:t>
      </w:r>
      <w:r w:rsidR="00474FBE">
        <w:rPr>
          <w:rFonts w:eastAsia="Arial Unicode MS"/>
        </w:rPr>
        <w:t>une hausse</w:t>
      </w:r>
      <w:r w:rsidR="002B2B90">
        <w:rPr>
          <w:rFonts w:eastAsia="Arial Unicode MS"/>
        </w:rPr>
        <w:t xml:space="preserve"> s</w:t>
      </w:r>
      <w:r w:rsidR="002B2B90" w:rsidRPr="00BC40A2">
        <w:rPr>
          <w:rFonts w:eastAsia="Arial Unicode MS"/>
        </w:rPr>
        <w:t xml:space="preserve">elon </w:t>
      </w:r>
      <w:r w:rsidR="00DF7EED">
        <w:rPr>
          <w:rFonts w:eastAsia="Arial Unicode MS"/>
        </w:rPr>
        <w:t>25</w:t>
      </w:r>
      <w:r w:rsidR="002B2B90" w:rsidRPr="00BC40A2">
        <w:rPr>
          <w:rFonts w:eastAsia="Arial Unicode MS"/>
        </w:rPr>
        <w:t xml:space="preserve">% des grossistes. </w:t>
      </w:r>
    </w:p>
    <w:p w:rsidR="00DF7EED" w:rsidRDefault="002B2B90" w:rsidP="00AE68BE">
      <w:pPr>
        <w:jc w:val="both"/>
        <w:rPr>
          <w:rFonts w:eastAsia="Arial Unicode MS"/>
        </w:rPr>
      </w:pPr>
      <w:r w:rsidRPr="00691F8C">
        <w:rPr>
          <w:rFonts w:eastAsia="Arial Unicode MS"/>
        </w:rPr>
        <w:t xml:space="preserve">Cette évolution serait principalement attribuable, d’une part, à la </w:t>
      </w:r>
      <w:r>
        <w:rPr>
          <w:rFonts w:eastAsia="Arial Unicode MS"/>
        </w:rPr>
        <w:t>hausse</w:t>
      </w:r>
      <w:r w:rsidR="00A263AF">
        <w:rPr>
          <w:rFonts w:eastAsia="Arial Unicode MS"/>
        </w:rPr>
        <w:t xml:space="preserve"> des ventes dans les </w:t>
      </w:r>
      <w:r w:rsidRPr="00691F8C">
        <w:rPr>
          <w:rFonts w:eastAsia="Arial Unicode MS"/>
        </w:rPr>
        <w:t>« </w:t>
      </w:r>
      <w:r w:rsidR="00DF7EED" w:rsidRPr="00DF7EED">
        <w:rPr>
          <w:rFonts w:eastAsia="Arial Unicode MS"/>
        </w:rPr>
        <w:t>Commerce de gros de produits alimentaires, de boissons</w:t>
      </w:r>
      <w:r w:rsidRPr="00691F8C">
        <w:rPr>
          <w:rFonts w:eastAsia="Arial Unicode MS"/>
        </w:rPr>
        <w:t>»</w:t>
      </w:r>
      <w:r w:rsidR="00DF7EED">
        <w:rPr>
          <w:rFonts w:eastAsia="Arial Unicode MS"/>
        </w:rPr>
        <w:t>et le</w:t>
      </w:r>
      <w:r w:rsidR="00520ECD">
        <w:rPr>
          <w:rFonts w:eastAsia="Arial Unicode MS"/>
        </w:rPr>
        <w:t>s</w:t>
      </w:r>
      <w:r w:rsidR="00DF7EED" w:rsidRPr="00691F8C">
        <w:rPr>
          <w:rFonts w:eastAsia="Arial Unicode MS"/>
        </w:rPr>
        <w:t xml:space="preserve"> «</w:t>
      </w:r>
      <w:r w:rsidR="00474FBE" w:rsidRPr="00474FBE">
        <w:rPr>
          <w:rFonts w:eastAsia="Arial Unicode MS"/>
        </w:rPr>
        <w:t>Autres commerces de gros spécialisés</w:t>
      </w:r>
      <w:r w:rsidR="00520ECD">
        <w:rPr>
          <w:rStyle w:val="Appelnotedebasdep"/>
          <w:rFonts w:eastAsia="Arial Unicode MS"/>
        </w:rPr>
        <w:footnoteReference w:id="1"/>
      </w:r>
      <w:r w:rsidR="00A263AF">
        <w:rPr>
          <w:rFonts w:eastAsia="Arial Unicode MS"/>
        </w:rPr>
        <w:t xml:space="preserve">» </w:t>
      </w:r>
      <w:r w:rsidRPr="00691F8C">
        <w:rPr>
          <w:rFonts w:eastAsia="Arial Unicode MS"/>
        </w:rPr>
        <w:t xml:space="preserve">et, d’autre part, à la </w:t>
      </w:r>
      <w:r>
        <w:rPr>
          <w:rFonts w:eastAsia="Arial Unicode MS"/>
        </w:rPr>
        <w:t>baisse</w:t>
      </w:r>
      <w:r w:rsidRPr="00691F8C">
        <w:rPr>
          <w:rFonts w:eastAsia="Arial Unicode MS"/>
        </w:rPr>
        <w:t xml:space="preserve"> des ventes dans le «</w:t>
      </w:r>
      <w:r w:rsidR="001140C8" w:rsidRPr="001140C8">
        <w:rPr>
          <w:rFonts w:eastAsia="Arial Unicode MS"/>
        </w:rPr>
        <w:t>Commerce de gros d'équipements de l'information et de la communication</w:t>
      </w:r>
      <w:r w:rsidRPr="00124A31">
        <w:rPr>
          <w:rFonts w:eastAsia="Arial Unicode MS"/>
        </w:rPr>
        <w:t>»</w:t>
      </w:r>
      <w:r w:rsidR="00070C2B">
        <w:rPr>
          <w:rFonts w:eastAsia="Arial Unicode MS"/>
        </w:rPr>
        <w:t>.</w:t>
      </w:r>
    </w:p>
    <w:p w:rsidR="002B2B90" w:rsidRDefault="002B2B90" w:rsidP="00DF7EED">
      <w:pPr>
        <w:spacing w:after="120" w:line="276" w:lineRule="auto"/>
        <w:jc w:val="both"/>
        <w:rPr>
          <w:rFonts w:eastAsia="Arial Unicode MS"/>
        </w:rPr>
      </w:pPr>
      <w:r w:rsidRPr="00124A31">
        <w:rPr>
          <w:rFonts w:eastAsia="Arial Unicode MS"/>
        </w:rPr>
        <w:t xml:space="preserve">L’emploi aurait connu une </w:t>
      </w:r>
      <w:r>
        <w:rPr>
          <w:rFonts w:eastAsia="Arial Unicode MS"/>
        </w:rPr>
        <w:t>stabilité</w:t>
      </w:r>
      <w:r w:rsidRPr="00124A31">
        <w:rPr>
          <w:rFonts w:eastAsia="Arial Unicode MS"/>
        </w:rPr>
        <w:t xml:space="preserve"> selon </w:t>
      </w:r>
      <w:r>
        <w:rPr>
          <w:rFonts w:eastAsia="Arial Unicode MS"/>
        </w:rPr>
        <w:t>7</w:t>
      </w:r>
      <w:r w:rsidR="00DF7EED">
        <w:rPr>
          <w:rFonts w:eastAsia="Arial Unicode MS"/>
        </w:rPr>
        <w:t>1% des chefs d’entreprise</w:t>
      </w:r>
      <w:r>
        <w:rPr>
          <w:rFonts w:eastAsia="Arial Unicode MS" w:hint="cs"/>
          <w:rtl/>
        </w:rPr>
        <w:t>.</w:t>
      </w:r>
    </w:p>
    <w:p w:rsidR="002B2B90" w:rsidRPr="00BC40A2" w:rsidRDefault="002B2B90" w:rsidP="00791BFE">
      <w:pPr>
        <w:spacing w:after="120" w:line="276" w:lineRule="auto"/>
        <w:ind w:right="170"/>
        <w:jc w:val="both"/>
        <w:rPr>
          <w:rFonts w:eastAsia="Arial Unicode MS"/>
        </w:rPr>
      </w:pPr>
      <w:r w:rsidRPr="00BC40A2">
        <w:rPr>
          <w:rFonts w:eastAsia="Arial Unicode MS"/>
        </w:rPr>
        <w:t xml:space="preserve">Les stocks de marchandises se seraient situés à un niveau normal selon </w:t>
      </w:r>
      <w:r w:rsidR="00791BFE">
        <w:rPr>
          <w:rFonts w:eastAsia="Arial Unicode MS"/>
        </w:rPr>
        <w:t>8</w:t>
      </w:r>
      <w:r>
        <w:rPr>
          <w:rFonts w:eastAsia="Arial Unicode MS"/>
        </w:rPr>
        <w:t>0</w:t>
      </w:r>
      <w:r w:rsidRPr="00BC40A2">
        <w:rPr>
          <w:rFonts w:eastAsia="Arial Unicode MS"/>
        </w:rPr>
        <w:t>% des gr</w:t>
      </w:r>
      <w:r w:rsidR="00791BFE">
        <w:rPr>
          <w:rFonts w:eastAsia="Arial Unicode MS"/>
        </w:rPr>
        <w:t>ossistes</w:t>
      </w:r>
      <w:r w:rsidRPr="00BC40A2">
        <w:rPr>
          <w:rFonts w:eastAsia="Arial Unicode MS"/>
        </w:rPr>
        <w:t xml:space="preserve">. </w:t>
      </w:r>
    </w:p>
    <w:p w:rsidR="002B2B90" w:rsidRPr="00BC40A2" w:rsidRDefault="002B2B90" w:rsidP="00791BFE">
      <w:pPr>
        <w:spacing w:after="120" w:line="276" w:lineRule="auto"/>
        <w:ind w:right="170"/>
        <w:jc w:val="both"/>
        <w:rPr>
          <w:rFonts w:eastAsia="Arial Unicode MS"/>
        </w:rPr>
      </w:pPr>
      <w:r w:rsidRPr="00BC40A2">
        <w:rPr>
          <w:rFonts w:eastAsia="Arial Unicode MS"/>
        </w:rPr>
        <w:t>La tendance observée des prix de vente aurait affiché une</w:t>
      </w:r>
      <w:r>
        <w:rPr>
          <w:rFonts w:eastAsia="Arial Unicode MS"/>
        </w:rPr>
        <w:t>stabilité</w:t>
      </w:r>
      <w:r w:rsidRPr="00BC40A2">
        <w:rPr>
          <w:rFonts w:eastAsia="Arial Unicode MS"/>
        </w:rPr>
        <w:t xml:space="preserve">, selon </w:t>
      </w:r>
      <w:r>
        <w:rPr>
          <w:rFonts w:eastAsia="Arial Unicode MS"/>
        </w:rPr>
        <w:t>6</w:t>
      </w:r>
      <w:r w:rsidR="00791BFE">
        <w:rPr>
          <w:rFonts w:eastAsia="Arial Unicode MS"/>
        </w:rPr>
        <w:t>4</w:t>
      </w:r>
      <w:r w:rsidRPr="00BC40A2">
        <w:rPr>
          <w:rFonts w:eastAsia="Arial Unicode MS"/>
        </w:rPr>
        <w:t xml:space="preserve">% des chefs d’entreprises et une </w:t>
      </w:r>
      <w:r>
        <w:rPr>
          <w:rFonts w:eastAsia="Arial Unicode MS"/>
        </w:rPr>
        <w:t>hausse</w:t>
      </w:r>
      <w:r w:rsidRPr="00BC40A2">
        <w:rPr>
          <w:rFonts w:eastAsia="Arial Unicode MS"/>
        </w:rPr>
        <w:t xml:space="preserve"> selon </w:t>
      </w:r>
      <w:r w:rsidR="00791BFE">
        <w:rPr>
          <w:rFonts w:eastAsia="Arial Unicode MS"/>
        </w:rPr>
        <w:t>30</w:t>
      </w:r>
      <w:r w:rsidRPr="00BC40A2">
        <w:rPr>
          <w:rFonts w:eastAsia="Arial Unicode MS"/>
        </w:rPr>
        <w:t>% d'entre eux</w:t>
      </w:r>
      <w:r>
        <w:rPr>
          <w:rFonts w:eastAsia="Arial Unicode MS"/>
        </w:rPr>
        <w:t>.</w:t>
      </w:r>
    </w:p>
    <w:p w:rsidR="00B33B02" w:rsidRPr="00B33B02" w:rsidRDefault="00B33B02" w:rsidP="00740EA0">
      <w:pPr>
        <w:pStyle w:val="Paragraphedeliste"/>
        <w:numPr>
          <w:ilvl w:val="0"/>
          <w:numId w:val="28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B33B02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Anticipations des chefs d’entreprises pour le </w:t>
      </w:r>
      <w:r w:rsidR="00740EA0">
        <w:rPr>
          <w:rFonts w:ascii="Trebuchet MS" w:eastAsia="Arial Unicode MS" w:hAnsi="Trebuchet MS"/>
          <w:b/>
          <w:bCs/>
          <w:color w:val="660033"/>
          <w:sz w:val="26"/>
          <w:szCs w:val="26"/>
        </w:rPr>
        <w:t>4</w:t>
      </w:r>
      <w:r w:rsidR="007D5F11" w:rsidRPr="00601520">
        <w:rPr>
          <w:rFonts w:ascii="Trebuchet MS" w:eastAsia="Arial Unicode MS" w:hAnsi="Trebuchet MS"/>
          <w:b/>
          <w:bCs/>
          <w:color w:val="660033"/>
          <w:sz w:val="26"/>
          <w:szCs w:val="26"/>
          <w:vertAlign w:val="superscript"/>
        </w:rPr>
        <w:t>ème</w:t>
      </w:r>
      <w:r w:rsidR="00301BCF">
        <w:rPr>
          <w:rFonts w:ascii="Trebuchet MS" w:eastAsia="Arial Unicode MS" w:hAnsi="Trebuchet MS"/>
          <w:b/>
          <w:bCs/>
          <w:color w:val="660033"/>
          <w:sz w:val="26"/>
          <w:szCs w:val="26"/>
        </w:rPr>
        <w:t>trimestre 2021</w:t>
      </w:r>
    </w:p>
    <w:p w:rsidR="00B33B02" w:rsidRPr="008661AF" w:rsidRDefault="00B33B02" w:rsidP="00B33B02">
      <w:pPr>
        <w:pStyle w:val="Paragraphedeliste"/>
        <w:spacing w:after="240"/>
        <w:ind w:right="-168"/>
        <w:jc w:val="both"/>
        <w:rPr>
          <w:rFonts w:ascii="Trebuchet MS" w:eastAsia="Arial Unicode MS" w:hAnsi="Trebuchet MS"/>
          <w:b/>
          <w:bCs/>
          <w:color w:val="660033"/>
          <w:sz w:val="8"/>
          <w:szCs w:val="8"/>
        </w:rPr>
      </w:pPr>
    </w:p>
    <w:p w:rsidR="00B33B02" w:rsidRPr="00127090" w:rsidRDefault="00B33B02" w:rsidP="00B33B02">
      <w:pPr>
        <w:pStyle w:val="Paragraphedeliste"/>
        <w:spacing w:after="240"/>
        <w:ind w:right="-168"/>
        <w:jc w:val="both"/>
        <w:rPr>
          <w:rFonts w:ascii="Trebuchet MS" w:eastAsia="Arial Unicode MS" w:hAnsi="Trebuchet MS"/>
          <w:b/>
          <w:bCs/>
          <w:color w:val="660033"/>
          <w:sz w:val="4"/>
          <w:szCs w:val="4"/>
        </w:rPr>
      </w:pPr>
    </w:p>
    <w:p w:rsidR="00B33B02" w:rsidRPr="00B33B02" w:rsidRDefault="00B33B02" w:rsidP="00B33B02">
      <w:pPr>
        <w:pStyle w:val="Paragraphedeliste"/>
        <w:numPr>
          <w:ilvl w:val="1"/>
          <w:numId w:val="27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B33B02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des Services marchands non financiers</w:t>
      </w:r>
    </w:p>
    <w:p w:rsidR="00A41A52" w:rsidRPr="00FA369D" w:rsidRDefault="00BA3B72" w:rsidP="008A7AFA">
      <w:pPr>
        <w:spacing w:before="240" w:after="120" w:line="276" w:lineRule="auto"/>
        <w:ind w:right="170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margin">
              <wp:posOffset>2887980</wp:posOffset>
            </wp:positionH>
            <wp:positionV relativeFrom="margin">
              <wp:posOffset>5088255</wp:posOffset>
            </wp:positionV>
            <wp:extent cx="3050540" cy="2695575"/>
            <wp:effectExtent l="0" t="0" r="0" b="0"/>
            <wp:wrapSquare wrapText="bothSides"/>
            <wp:docPr id="120" name="Graphiqu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  <w:r w:rsidR="00B33B02" w:rsidRPr="00214B2E">
        <w:rPr>
          <w:rFonts w:eastAsia="Arial Unicode MS"/>
        </w:rPr>
        <w:t xml:space="preserve">Les anticipations </w:t>
      </w:r>
      <w:r w:rsidR="00A41A52" w:rsidRPr="00214B2E">
        <w:rPr>
          <w:rFonts w:eastAsia="Arial Unicode MS"/>
        </w:rPr>
        <w:t xml:space="preserve">des chefs d'entreprises du </w:t>
      </w:r>
      <w:r w:rsidR="00A41A52" w:rsidRPr="00214B2E">
        <w:rPr>
          <w:rFonts w:eastAsia="Arial Unicode MS"/>
          <w:b/>
          <w:bCs/>
          <w:color w:val="660033"/>
        </w:rPr>
        <w:t>secteur des services marchands non financiers</w:t>
      </w:r>
      <w:r w:rsidR="00A41A52" w:rsidRPr="00214B2E">
        <w:rPr>
          <w:rFonts w:eastAsia="Arial Unicode MS"/>
        </w:rPr>
        <w:t xml:space="preserve">, pour le </w:t>
      </w:r>
      <w:r w:rsidR="00740EA0">
        <w:rPr>
          <w:rFonts w:eastAsia="Arial Unicode MS"/>
        </w:rPr>
        <w:t>4</w:t>
      </w:r>
      <w:r w:rsidR="007D5F11" w:rsidRPr="00601520">
        <w:rPr>
          <w:rFonts w:eastAsia="Arial Unicode MS"/>
          <w:vertAlign w:val="superscript"/>
        </w:rPr>
        <w:t>ème</w:t>
      </w:r>
      <w:r w:rsidR="00A41A52">
        <w:rPr>
          <w:rFonts w:eastAsia="Arial Unicode MS"/>
        </w:rPr>
        <w:t xml:space="preserve">trimestre 2021, révèlent une </w:t>
      </w:r>
      <w:r w:rsidR="008A7AFA">
        <w:rPr>
          <w:rFonts w:eastAsia="Arial Unicode MS"/>
        </w:rPr>
        <w:t>augmentation</w:t>
      </w:r>
      <w:r w:rsidR="00A41A52">
        <w:rPr>
          <w:rFonts w:eastAsia="Arial Unicode MS"/>
        </w:rPr>
        <w:t xml:space="preserve"> de l’activité globale, selon </w:t>
      </w:r>
      <w:r w:rsidR="008A7AFA">
        <w:rPr>
          <w:rFonts w:eastAsia="Arial Unicode MS"/>
        </w:rPr>
        <w:t>34</w:t>
      </w:r>
      <w:r w:rsidR="00A41A52">
        <w:rPr>
          <w:rFonts w:eastAsia="Arial Unicode MS"/>
        </w:rPr>
        <w:t>% d’entre eux</w:t>
      </w:r>
      <w:r w:rsidR="00740EA0">
        <w:rPr>
          <w:rFonts w:eastAsia="Arial Unicode MS"/>
        </w:rPr>
        <w:t xml:space="preserve"> et un</w:t>
      </w:r>
      <w:r w:rsidR="00F146DD">
        <w:rPr>
          <w:rFonts w:eastAsia="Arial Unicode MS"/>
        </w:rPr>
        <w:t>e</w:t>
      </w:r>
      <w:r w:rsidR="008A7AFA">
        <w:rPr>
          <w:rFonts w:eastAsia="Arial Unicode MS"/>
        </w:rPr>
        <w:t>stabilité</w:t>
      </w:r>
      <w:r w:rsidR="00653297">
        <w:rPr>
          <w:rFonts w:eastAsia="Arial Unicode MS"/>
        </w:rPr>
        <w:t>selon</w:t>
      </w:r>
      <w:r w:rsidR="008A7AFA">
        <w:rPr>
          <w:rFonts w:eastAsia="Arial Unicode MS"/>
        </w:rPr>
        <w:t>42</w:t>
      </w:r>
      <w:r w:rsidR="00740EA0">
        <w:rPr>
          <w:rFonts w:eastAsia="Arial Unicode MS"/>
        </w:rPr>
        <w:t>%</w:t>
      </w:r>
      <w:r w:rsidR="00A41A52" w:rsidRPr="00214B2E">
        <w:rPr>
          <w:rFonts w:eastAsia="Arial Unicode MS"/>
        </w:rPr>
        <w:t>.Ces anticipations seraient dues, d’une part,</w:t>
      </w:r>
      <w:r w:rsidR="00A41A52" w:rsidRPr="000F30B6">
        <w:rPr>
          <w:rFonts w:eastAsia="Arial Unicode MS"/>
        </w:rPr>
        <w:t>à l’amélioration prévue dans les branches de</w:t>
      </w:r>
      <w:r w:rsidR="00601520">
        <w:rPr>
          <w:rFonts w:eastAsia="Arial Unicode MS"/>
        </w:rPr>
        <w:t>s</w:t>
      </w:r>
      <w:r w:rsidR="00A41A52" w:rsidRPr="000F30B6">
        <w:rPr>
          <w:rFonts w:eastAsia="Arial Unicode MS"/>
        </w:rPr>
        <w:t>«</w:t>
      </w:r>
      <w:r w:rsidR="00601520" w:rsidRPr="00601520">
        <w:rPr>
          <w:rFonts w:eastAsia="Arial Unicode MS"/>
        </w:rPr>
        <w:t>Transports terrestres et transport par conduites</w:t>
      </w:r>
      <w:r w:rsidR="00A41A52" w:rsidRPr="000F30B6">
        <w:rPr>
          <w:rFonts w:eastAsia="Arial Unicode MS"/>
        </w:rPr>
        <w:t>»</w:t>
      </w:r>
      <w:r w:rsidR="00A41A52">
        <w:rPr>
          <w:rFonts w:eastAsia="Arial Unicode MS"/>
        </w:rPr>
        <w:t xml:space="preserve"> et</w:t>
      </w:r>
      <w:r w:rsidR="00740EA0">
        <w:rPr>
          <w:rFonts w:eastAsia="Arial Unicode MS"/>
        </w:rPr>
        <w:t xml:space="preserve"> de</w:t>
      </w:r>
      <w:r w:rsidR="00F07032">
        <w:rPr>
          <w:rFonts w:eastAsia="Arial Unicode MS"/>
        </w:rPr>
        <w:t xml:space="preserve"> l’</w:t>
      </w:r>
      <w:r w:rsidR="00740EA0">
        <w:rPr>
          <w:rFonts w:eastAsia="Arial Unicode MS"/>
        </w:rPr>
        <w:t>« Entreposage et services auxiliaires des transports » et</w:t>
      </w:r>
      <w:r w:rsidR="00A41A52" w:rsidRPr="00214B2E">
        <w:rPr>
          <w:rFonts w:eastAsia="Arial Unicode MS"/>
        </w:rPr>
        <w:t xml:space="preserve">, </w:t>
      </w:r>
      <w:r w:rsidR="00A41A52" w:rsidRPr="00FA369D">
        <w:rPr>
          <w:rFonts w:eastAsia="Arial Unicode MS"/>
        </w:rPr>
        <w:t>d’autre part</w:t>
      </w:r>
      <w:r w:rsidR="00A41A52">
        <w:rPr>
          <w:rFonts w:eastAsia="Arial Unicode MS"/>
        </w:rPr>
        <w:t xml:space="preserve">, </w:t>
      </w:r>
      <w:r w:rsidR="00A41A52" w:rsidRPr="00FA369D">
        <w:rPr>
          <w:rFonts w:eastAsia="Arial Unicode MS"/>
        </w:rPr>
        <w:t xml:space="preserve">à la baisse prévue dans </w:t>
      </w:r>
      <w:r w:rsidR="00A41A52">
        <w:rPr>
          <w:rFonts w:eastAsia="Arial Unicode MS"/>
        </w:rPr>
        <w:t xml:space="preserve">les activités </w:t>
      </w:r>
      <w:r w:rsidR="00A41A52" w:rsidRPr="00FA369D">
        <w:rPr>
          <w:rFonts w:eastAsia="Arial Unicode MS"/>
        </w:rPr>
        <w:t>de</w:t>
      </w:r>
      <w:r w:rsidR="00A41A52">
        <w:rPr>
          <w:rFonts w:eastAsia="Arial Unicode MS"/>
        </w:rPr>
        <w:t>l’« Hébergement</w:t>
      </w:r>
      <w:r w:rsidR="00A41A52" w:rsidRPr="00F16808">
        <w:rPr>
          <w:rFonts w:eastAsia="Arial Unicode MS"/>
        </w:rPr>
        <w:t>»</w:t>
      </w:r>
      <w:r w:rsidR="00A41A52">
        <w:rPr>
          <w:rFonts w:eastAsia="Arial Unicode MS"/>
        </w:rPr>
        <w:t xml:space="preserve">, des </w:t>
      </w:r>
      <w:r w:rsidR="00A41A52" w:rsidRPr="00F16808">
        <w:rPr>
          <w:rFonts w:eastAsia="Arial Unicode MS"/>
        </w:rPr>
        <w:t>«</w:t>
      </w:r>
      <w:r w:rsidR="00740EA0" w:rsidRPr="000F30B6">
        <w:rPr>
          <w:rFonts w:eastAsia="Arial Unicode MS"/>
        </w:rPr>
        <w:t>Transports aériens</w:t>
      </w:r>
      <w:r w:rsidR="00A41A52" w:rsidRPr="00F16808">
        <w:rPr>
          <w:rFonts w:eastAsia="Arial Unicode MS"/>
        </w:rPr>
        <w:t>»</w:t>
      </w:r>
      <w:r w:rsidR="00A41A52" w:rsidRPr="00214B2E">
        <w:rPr>
          <w:rFonts w:eastAsia="Arial Unicode MS"/>
        </w:rPr>
        <w:t xml:space="preserve"> et</w:t>
      </w:r>
      <w:r w:rsidR="00A41A52">
        <w:rPr>
          <w:rFonts w:eastAsia="Arial Unicode MS"/>
        </w:rPr>
        <w:t xml:space="preserve"> des « </w:t>
      </w:r>
      <w:r w:rsidR="00A41A52" w:rsidRPr="00177EF1">
        <w:rPr>
          <w:rFonts w:eastAsia="Arial Unicode MS"/>
        </w:rPr>
        <w:t>Activités des agences de voyage, voyagistes, services de réservation et activités connexes</w:t>
      </w:r>
      <w:r w:rsidR="00A41A52">
        <w:rPr>
          <w:rFonts w:eastAsia="Arial Unicode MS"/>
        </w:rPr>
        <w:t xml:space="preserve"> ». </w:t>
      </w:r>
    </w:p>
    <w:p w:rsidR="00A41A52" w:rsidRDefault="00740EA0" w:rsidP="00DC6AA4">
      <w:pPr>
        <w:spacing w:before="240" w:after="120" w:line="276" w:lineRule="auto"/>
        <w:ind w:right="170"/>
        <w:jc w:val="both"/>
        <w:rPr>
          <w:rFonts w:eastAsia="Arial Unicode MS"/>
        </w:rPr>
      </w:pPr>
      <w:r>
        <w:rPr>
          <w:rFonts w:eastAsia="Arial Unicode MS"/>
        </w:rPr>
        <w:t>5</w:t>
      </w:r>
      <w:r w:rsidR="00DC6AA4">
        <w:rPr>
          <w:rFonts w:eastAsia="Arial Unicode MS"/>
        </w:rPr>
        <w:t>2</w:t>
      </w:r>
      <w:r w:rsidR="00A41A52" w:rsidRPr="00214B2E">
        <w:rPr>
          <w:rFonts w:eastAsia="Arial Unicode MS"/>
        </w:rPr>
        <w:t xml:space="preserve">% des chefs d’entreprises anticipent </w:t>
      </w:r>
      <w:r w:rsidR="00A41A52">
        <w:rPr>
          <w:rFonts w:eastAsia="Arial Unicode MS"/>
        </w:rPr>
        <w:t xml:space="preserve">une stabilité de la demande et </w:t>
      </w:r>
      <w:r w:rsidR="00F07032">
        <w:rPr>
          <w:rFonts w:eastAsia="Arial Unicode MS"/>
        </w:rPr>
        <w:t>78</w:t>
      </w:r>
      <w:r w:rsidR="00A41A52" w:rsidRPr="00214B2E">
        <w:rPr>
          <w:rFonts w:eastAsia="Arial Unicode MS"/>
        </w:rPr>
        <w:t>% une stagnation des effectifs employés.</w:t>
      </w:r>
    </w:p>
    <w:p w:rsidR="00070C2B" w:rsidRDefault="00070C2B">
      <w:pPr>
        <w:rPr>
          <w:rFonts w:ascii="Trebuchet MS" w:eastAsia="Arial Unicode MS" w:hAnsi="Trebuchet MS" w:cs="Arial"/>
          <w:b/>
          <w:bCs/>
          <w:color w:val="660033"/>
          <w:sz w:val="26"/>
          <w:szCs w:val="26"/>
          <w:lang w:eastAsia="en-US"/>
        </w:rPr>
      </w:pP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br w:type="page"/>
      </w:r>
    </w:p>
    <w:p w:rsidR="00B33B02" w:rsidRPr="00A05D54" w:rsidRDefault="00B33B02" w:rsidP="00B33B02">
      <w:pPr>
        <w:pStyle w:val="Paragraphedeliste"/>
        <w:numPr>
          <w:ilvl w:val="1"/>
          <w:numId w:val="27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A05D54">
        <w:rPr>
          <w:rFonts w:ascii="Trebuchet MS" w:eastAsia="Arial Unicode MS" w:hAnsi="Trebuchet MS"/>
          <w:b/>
          <w:bCs/>
          <w:color w:val="660033"/>
          <w:sz w:val="26"/>
          <w:szCs w:val="26"/>
        </w:rPr>
        <w:lastRenderedPageBreak/>
        <w:t>Secteur du Commerce de gros</w:t>
      </w:r>
    </w:p>
    <w:p w:rsidR="002B2B90" w:rsidRPr="006464C7" w:rsidRDefault="009234B0" w:rsidP="00B56423">
      <w:pPr>
        <w:spacing w:before="240" w:after="120" w:line="276" w:lineRule="auto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margin">
              <wp:posOffset>2989580</wp:posOffset>
            </wp:positionH>
            <wp:positionV relativeFrom="margin">
              <wp:posOffset>399415</wp:posOffset>
            </wp:positionV>
            <wp:extent cx="3009265" cy="3188335"/>
            <wp:effectExtent l="0" t="0" r="635" b="0"/>
            <wp:wrapSquare wrapText="bothSides"/>
            <wp:docPr id="119" name="Graphiqu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anchor>
        </w:drawing>
      </w:r>
      <w:r w:rsidR="002B2B90" w:rsidRPr="006464C7">
        <w:rPr>
          <w:rFonts w:eastAsia="Arial Unicode MS"/>
        </w:rPr>
        <w:t xml:space="preserve">Les anticipations de </w:t>
      </w:r>
      <w:r w:rsidR="002B2B90">
        <w:rPr>
          <w:rFonts w:eastAsia="Arial Unicode MS"/>
        </w:rPr>
        <w:t>2</w:t>
      </w:r>
      <w:r w:rsidR="006A3B55">
        <w:rPr>
          <w:rFonts w:eastAsia="Arial Unicode MS"/>
        </w:rPr>
        <w:t>9</w:t>
      </w:r>
      <w:r w:rsidR="002B2B90" w:rsidRPr="006464C7">
        <w:rPr>
          <w:rFonts w:eastAsia="Arial Unicode MS"/>
        </w:rPr>
        <w:t xml:space="preserve">%des grossistes affichent une </w:t>
      </w:r>
      <w:r w:rsidR="002B2B90">
        <w:rPr>
          <w:rFonts w:eastAsia="Arial Unicode MS"/>
        </w:rPr>
        <w:t>augmentation du volume global des ventes</w:t>
      </w:r>
      <w:r w:rsidR="002B2B90" w:rsidRPr="00214B2E">
        <w:rPr>
          <w:rFonts w:eastAsia="Arial Unicode MS"/>
        </w:rPr>
        <w:t xml:space="preserve"> pour le </w:t>
      </w:r>
      <w:r w:rsidR="00B56423">
        <w:rPr>
          <w:rFonts w:eastAsia="Arial Unicode MS"/>
        </w:rPr>
        <w:t>quatrième</w:t>
      </w:r>
      <w:r w:rsidR="002B2B90">
        <w:rPr>
          <w:rFonts w:eastAsia="Arial Unicode MS"/>
        </w:rPr>
        <w:t xml:space="preserve"> trimestre 2021 </w:t>
      </w:r>
      <w:r w:rsidR="002B2B90" w:rsidRPr="006464C7">
        <w:rPr>
          <w:rFonts w:eastAsia="Arial Unicode MS"/>
        </w:rPr>
        <w:t xml:space="preserve">et une </w:t>
      </w:r>
      <w:r w:rsidR="002B2B90">
        <w:rPr>
          <w:rFonts w:eastAsia="Arial Unicode MS"/>
        </w:rPr>
        <w:t>baisse</w:t>
      </w:r>
      <w:r w:rsidR="002B2B90" w:rsidRPr="006464C7">
        <w:rPr>
          <w:rFonts w:eastAsia="Arial Unicode MS"/>
        </w:rPr>
        <w:t xml:space="preserve">selon </w:t>
      </w:r>
      <w:r w:rsidR="00A211E7">
        <w:rPr>
          <w:rFonts w:eastAsia="Arial Unicode MS"/>
        </w:rPr>
        <w:t>1</w:t>
      </w:r>
      <w:r w:rsidR="002B2B90">
        <w:rPr>
          <w:rFonts w:eastAsia="Arial Unicode MS"/>
        </w:rPr>
        <w:t>2</w:t>
      </w:r>
      <w:r w:rsidR="002B2B90" w:rsidRPr="006464C7">
        <w:rPr>
          <w:rFonts w:eastAsia="Arial Unicode MS"/>
        </w:rPr>
        <w:t>%</w:t>
      </w:r>
      <w:r w:rsidR="004D1381">
        <w:rPr>
          <w:rFonts w:eastAsia="Arial Unicode MS"/>
        </w:rPr>
        <w:t xml:space="preserve"> d’entre eux</w:t>
      </w:r>
      <w:r w:rsidR="002B2B90">
        <w:rPr>
          <w:rFonts w:eastAsia="Arial Unicode MS"/>
        </w:rPr>
        <w:t>.</w:t>
      </w:r>
    </w:p>
    <w:p w:rsidR="002B2B90" w:rsidRDefault="002B2B90" w:rsidP="00EB4AD1">
      <w:pPr>
        <w:spacing w:after="120" w:line="276" w:lineRule="auto"/>
        <w:jc w:val="both"/>
        <w:rPr>
          <w:rFonts w:eastAsia="Arial Unicode MS"/>
        </w:rPr>
      </w:pPr>
      <w:r w:rsidRPr="00054FA1">
        <w:rPr>
          <w:rFonts w:eastAsia="Arial Unicode MS"/>
        </w:rPr>
        <w:t xml:space="preserve">Cette évolution serait principalement attribuableà </w:t>
      </w:r>
      <w:r w:rsidRPr="00691F8C">
        <w:rPr>
          <w:rFonts w:eastAsia="Arial Unicode MS"/>
        </w:rPr>
        <w:t xml:space="preserve">la </w:t>
      </w:r>
      <w:r>
        <w:rPr>
          <w:rFonts w:eastAsia="Arial Unicode MS"/>
        </w:rPr>
        <w:t>hausse</w:t>
      </w:r>
      <w:r w:rsidR="00594C60">
        <w:rPr>
          <w:rFonts w:eastAsia="Arial Unicode MS"/>
        </w:rPr>
        <w:t xml:space="preserve">prévue </w:t>
      </w:r>
      <w:r w:rsidRPr="00691F8C">
        <w:rPr>
          <w:rFonts w:eastAsia="Arial Unicode MS"/>
        </w:rPr>
        <w:t xml:space="preserve">des ventes dans </w:t>
      </w:r>
      <w:r w:rsidR="00A211E7">
        <w:t>le</w:t>
      </w:r>
      <w:r w:rsidR="00A211E7" w:rsidRPr="00691F8C">
        <w:rPr>
          <w:rFonts w:eastAsia="Arial Unicode MS"/>
        </w:rPr>
        <w:t>«</w:t>
      </w:r>
      <w:r w:rsidR="00A211E7" w:rsidRPr="00A211E7">
        <w:rPr>
          <w:rFonts w:eastAsia="Arial Unicode MS"/>
        </w:rPr>
        <w:t>Commerce d</w:t>
      </w:r>
      <w:r w:rsidR="00A211E7">
        <w:rPr>
          <w:rFonts w:eastAsia="Arial Unicode MS"/>
        </w:rPr>
        <w:t>e gros de produits alimentaires et</w:t>
      </w:r>
      <w:r w:rsidR="00A211E7" w:rsidRPr="00A211E7">
        <w:rPr>
          <w:rFonts w:eastAsia="Arial Unicode MS"/>
        </w:rPr>
        <w:t xml:space="preserve"> de boissons</w:t>
      </w:r>
      <w:r w:rsidR="00A211E7">
        <w:rPr>
          <w:rFonts w:eastAsia="Arial Unicode MS"/>
        </w:rPr>
        <w:t>» et</w:t>
      </w:r>
      <w:r w:rsidRPr="00691F8C">
        <w:rPr>
          <w:rFonts w:eastAsia="Arial Unicode MS"/>
        </w:rPr>
        <w:t>le</w:t>
      </w:r>
      <w:r w:rsidR="00D12DDB">
        <w:rPr>
          <w:rFonts w:eastAsia="Arial Unicode MS"/>
        </w:rPr>
        <w:t>s</w:t>
      </w:r>
      <w:r w:rsidR="00A211E7" w:rsidRPr="00691F8C">
        <w:rPr>
          <w:rFonts w:eastAsia="Arial Unicode MS"/>
        </w:rPr>
        <w:t>«</w:t>
      </w:r>
      <w:r w:rsidR="00D12DDB" w:rsidRPr="00D12DDB">
        <w:rPr>
          <w:rFonts w:eastAsia="Arial Unicode MS"/>
        </w:rPr>
        <w:t>Autres commerces de gros spécialisés</w:t>
      </w:r>
      <w:r w:rsidR="00A211E7" w:rsidRPr="00691F8C">
        <w:rPr>
          <w:rFonts w:eastAsia="Arial Unicode MS"/>
        </w:rPr>
        <w:t>»</w:t>
      </w:r>
      <w:r w:rsidRPr="00691F8C">
        <w:rPr>
          <w:rFonts w:eastAsia="Arial Unicode MS"/>
        </w:rPr>
        <w:t>.</w:t>
      </w:r>
    </w:p>
    <w:p w:rsidR="00583E13" w:rsidRDefault="002B2B90" w:rsidP="00AB2A8A">
      <w:pPr>
        <w:spacing w:after="120" w:line="276" w:lineRule="auto"/>
        <w:jc w:val="both"/>
        <w:rPr>
          <w:rFonts w:eastAsia="Arial Unicode MS"/>
        </w:rPr>
      </w:pPr>
      <w:r w:rsidRPr="00F21473">
        <w:rPr>
          <w:rFonts w:eastAsia="Arial Unicode MS"/>
        </w:rPr>
        <w:t xml:space="preserve">Les commandes prévues </w:t>
      </w:r>
      <w:r w:rsidRPr="00214B2E">
        <w:rPr>
          <w:rFonts w:eastAsia="Arial Unicode MS"/>
        </w:rPr>
        <w:t xml:space="preserve">pour le </w:t>
      </w:r>
      <w:r w:rsidR="00B56423">
        <w:rPr>
          <w:rFonts w:eastAsia="Arial Unicode MS"/>
        </w:rPr>
        <w:t>quatrième</w:t>
      </w:r>
      <w:r>
        <w:rPr>
          <w:rFonts w:eastAsia="Arial Unicode MS"/>
        </w:rPr>
        <w:t xml:space="preserve"> trimestre 2021</w:t>
      </w:r>
      <w:r w:rsidRPr="00F21473">
        <w:rPr>
          <w:rFonts w:eastAsia="Arial Unicode MS"/>
        </w:rPr>
        <w:t xml:space="preserve"> seraient d’un niveau </w:t>
      </w:r>
      <w:r>
        <w:rPr>
          <w:rFonts w:eastAsia="Arial Unicode MS"/>
        </w:rPr>
        <w:t>normal</w:t>
      </w:r>
      <w:r w:rsidRPr="00F21473">
        <w:rPr>
          <w:rFonts w:eastAsia="Arial Unicode MS"/>
        </w:rPr>
        <w:t xml:space="preserve"> selon </w:t>
      </w:r>
      <w:r w:rsidR="00583E13">
        <w:rPr>
          <w:rFonts w:eastAsia="Arial Unicode MS"/>
        </w:rPr>
        <w:t>80</w:t>
      </w:r>
      <w:r w:rsidRPr="00F21473">
        <w:rPr>
          <w:rFonts w:eastAsia="Arial Unicode MS"/>
        </w:rPr>
        <w:t>% des chefs d’entreprises.</w:t>
      </w:r>
    </w:p>
    <w:p w:rsidR="002B2B90" w:rsidRDefault="002B2B90" w:rsidP="00583E13">
      <w:pPr>
        <w:spacing w:after="120" w:line="276" w:lineRule="auto"/>
        <w:jc w:val="both"/>
        <w:rPr>
          <w:rFonts w:eastAsia="Arial Unicode MS"/>
        </w:rPr>
      </w:pPr>
      <w:r w:rsidRPr="001B5FC9">
        <w:rPr>
          <w:rFonts w:eastAsia="Arial Unicode MS"/>
        </w:rPr>
        <w:t xml:space="preserve">L’emploi connaîtrait une stabilité des effectifs selon </w:t>
      </w:r>
      <w:r w:rsidR="00583E13">
        <w:rPr>
          <w:rFonts w:eastAsia="Arial Unicode MS"/>
        </w:rPr>
        <w:t>91</w:t>
      </w:r>
      <w:r w:rsidRPr="001B5FC9">
        <w:rPr>
          <w:rFonts w:eastAsia="Arial Unicode MS"/>
        </w:rPr>
        <w:t>% des grossistes.</w:t>
      </w:r>
    </w:p>
    <w:p w:rsidR="00B0705D" w:rsidRDefault="00B0705D" w:rsidP="002B2B90">
      <w:pPr>
        <w:spacing w:before="240" w:after="120" w:line="276" w:lineRule="auto"/>
        <w:jc w:val="both"/>
        <w:rPr>
          <w:rFonts w:eastAsia="Arial Unicode MS"/>
          <w:sz w:val="22"/>
          <w:szCs w:val="22"/>
        </w:rPr>
      </w:pPr>
    </w:p>
    <w:p w:rsidR="00B0705D" w:rsidRDefault="00B0705D" w:rsidP="005B18F9">
      <w:pPr>
        <w:spacing w:after="120" w:line="300" w:lineRule="exact"/>
        <w:ind w:left="-284"/>
        <w:jc w:val="both"/>
        <w:rPr>
          <w:rFonts w:eastAsia="Arial Unicode MS"/>
          <w:sz w:val="22"/>
          <w:szCs w:val="22"/>
        </w:rPr>
      </w:pPr>
    </w:p>
    <w:sectPr w:rsidR="00B0705D" w:rsidSect="00BC3F14">
      <w:footerReference w:type="default" r:id="rId17"/>
      <w:footerReference w:type="first" r:id="rId18"/>
      <w:type w:val="continuous"/>
      <w:pgSz w:w="11906" w:h="16838"/>
      <w:pgMar w:top="1258" w:right="849" w:bottom="1258" w:left="1417" w:header="708" w:footer="54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9DB" w:rsidRDefault="001829DB">
      <w:r>
        <w:separator/>
      </w:r>
    </w:p>
  </w:endnote>
  <w:endnote w:type="continuationSeparator" w:id="0">
    <w:p w:rsidR="001829DB" w:rsidRDefault="0018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abic Typesetting">
    <w:altName w:val="Arabic Typesetting"/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955" w:type="pct"/>
      <w:tblBorders>
        <w:top w:val="single" w:sz="4" w:space="0" w:color="8064A2"/>
      </w:tblBorders>
      <w:tblLook w:val="04A0" w:firstRow="1" w:lastRow="0" w:firstColumn="1" w:lastColumn="0" w:noHBand="0" w:noVBand="1"/>
    </w:tblPr>
    <w:tblGrid>
      <w:gridCol w:w="6233"/>
      <w:gridCol w:w="1594"/>
      <w:gridCol w:w="1377"/>
    </w:tblGrid>
    <w:tr w:rsidR="00A27E02" w:rsidRPr="00C55F1F" w:rsidTr="00417EDD">
      <w:trPr>
        <w:trHeight w:val="252"/>
      </w:trPr>
      <w:tc>
        <w:tcPr>
          <w:tcW w:w="3386" w:type="pct"/>
          <w:vAlign w:val="center"/>
        </w:tcPr>
        <w:p w:rsidR="00A27E02" w:rsidRPr="00C55F1F" w:rsidRDefault="00A27E02" w:rsidP="00417EDD">
          <w:pPr>
            <w:pStyle w:val="Pieddepage"/>
            <w:rPr>
              <w:rFonts w:ascii="Book Antiqua" w:hAnsi="Book Antiqua"/>
              <w:i/>
              <w:iCs/>
              <w:sz w:val="16"/>
              <w:szCs w:val="16"/>
            </w:rPr>
          </w:pPr>
          <w:r w:rsidRPr="00C55F1F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 xml:space="preserve">Enquêtes trimestrielles de conjoncture dans le commerce de gros et les services marchands non financiers </w:t>
          </w:r>
        </w:p>
      </w:tc>
      <w:tc>
        <w:tcPr>
          <w:tcW w:w="866" w:type="pct"/>
          <w:shd w:val="clear" w:color="auto" w:fill="auto"/>
          <w:vAlign w:val="center"/>
        </w:tcPr>
        <w:p w:rsidR="00A27E02" w:rsidRPr="00C55F1F" w:rsidRDefault="00A27E02" w:rsidP="00D537CB">
          <w:pPr>
            <w:pStyle w:val="Pieddepage"/>
            <w:rPr>
              <w:rFonts w:ascii="Arabic Typesetting" w:hAnsi="Arabic Typesetting" w:cs="Arabic Typesetting"/>
              <w:i/>
              <w:iCs/>
              <w:color w:val="FFFFFF"/>
              <w:sz w:val="16"/>
              <w:szCs w:val="16"/>
            </w:rPr>
          </w:pPr>
          <w:r w:rsidRPr="00C55F1F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 xml:space="preserve">HCP, </w:t>
          </w:r>
          <w:r w:rsidR="00D537CB" w:rsidRPr="00C55F1F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>Juin</w:t>
          </w:r>
          <w:r w:rsidRPr="00C55F1F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 xml:space="preserve"> 2021                 </w:t>
          </w:r>
        </w:p>
      </w:tc>
      <w:tc>
        <w:tcPr>
          <w:tcW w:w="748" w:type="pct"/>
        </w:tcPr>
        <w:p w:rsidR="00A27E02" w:rsidRPr="00C55F1F" w:rsidRDefault="00A27E02" w:rsidP="00417EDD">
          <w:pPr>
            <w:pStyle w:val="Pieddepage"/>
            <w:jc w:val="right"/>
            <w:rPr>
              <w:rFonts w:ascii="Arabic Typesetting" w:hAnsi="Arabic Typesetting" w:cs="Arabic Typesetting"/>
              <w:i/>
              <w:iCs/>
              <w:sz w:val="16"/>
              <w:szCs w:val="16"/>
            </w:rPr>
          </w:pPr>
          <w:r w:rsidRPr="00C55F1F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 xml:space="preserve">  Page </w:t>
          </w:r>
          <w:r w:rsidR="00263795" w:rsidRPr="00C55F1F">
            <w:rPr>
              <w:rFonts w:ascii="Arabic Typesetting" w:hAnsi="Arabic Typesetting" w:cs="Arabic Typesetting"/>
              <w:b/>
              <w:i/>
              <w:iCs/>
              <w:sz w:val="16"/>
              <w:szCs w:val="16"/>
            </w:rPr>
            <w:fldChar w:fldCharType="begin"/>
          </w:r>
          <w:r w:rsidRPr="00C55F1F">
            <w:rPr>
              <w:rFonts w:ascii="Arabic Typesetting" w:hAnsi="Arabic Typesetting" w:cs="Arabic Typesetting"/>
              <w:b/>
              <w:i/>
              <w:iCs/>
              <w:sz w:val="16"/>
              <w:szCs w:val="16"/>
            </w:rPr>
            <w:instrText>PAGE  \* Arabic  \* MERGEFORMAT</w:instrText>
          </w:r>
          <w:r w:rsidR="00263795" w:rsidRPr="00C55F1F">
            <w:rPr>
              <w:rFonts w:ascii="Arabic Typesetting" w:hAnsi="Arabic Typesetting" w:cs="Arabic Typesetting"/>
              <w:b/>
              <w:i/>
              <w:iCs/>
              <w:sz w:val="16"/>
              <w:szCs w:val="16"/>
            </w:rPr>
            <w:fldChar w:fldCharType="separate"/>
          </w:r>
          <w:r w:rsidR="00BE61F4">
            <w:rPr>
              <w:rFonts w:ascii="Arabic Typesetting" w:hAnsi="Arabic Typesetting" w:cs="Arabic Typesetting"/>
              <w:b/>
              <w:i/>
              <w:iCs/>
              <w:noProof/>
              <w:sz w:val="16"/>
              <w:szCs w:val="16"/>
            </w:rPr>
            <w:t>1</w:t>
          </w:r>
          <w:r w:rsidR="00263795" w:rsidRPr="00C55F1F">
            <w:rPr>
              <w:rFonts w:ascii="Arabic Typesetting" w:hAnsi="Arabic Typesetting" w:cs="Arabic Typesetting"/>
              <w:b/>
              <w:i/>
              <w:iCs/>
              <w:sz w:val="16"/>
              <w:szCs w:val="16"/>
            </w:rPr>
            <w:fldChar w:fldCharType="end"/>
          </w:r>
          <w:r w:rsidRPr="00C55F1F">
            <w:rPr>
              <w:rFonts w:ascii="Arabic Typesetting" w:hAnsi="Arabic Typesetting" w:cs="Arabic Typesetting"/>
              <w:i/>
              <w:iCs/>
              <w:sz w:val="16"/>
              <w:szCs w:val="16"/>
            </w:rPr>
            <w:t xml:space="preserve"> sur </w:t>
          </w:r>
          <w:r w:rsidR="001829DB">
            <w:rPr>
              <w:rFonts w:ascii="Arabic Typesetting" w:hAnsi="Arabic Typesetting" w:cs="Arabic Typesetting"/>
              <w:b/>
              <w:i/>
              <w:iCs/>
              <w:noProof/>
              <w:sz w:val="16"/>
              <w:szCs w:val="16"/>
            </w:rPr>
            <w:fldChar w:fldCharType="begin"/>
          </w:r>
          <w:r w:rsidR="001829DB">
            <w:rPr>
              <w:rFonts w:ascii="Arabic Typesetting" w:hAnsi="Arabic Typesetting" w:cs="Arabic Typesetting"/>
              <w:b/>
              <w:i/>
              <w:iCs/>
              <w:noProof/>
              <w:sz w:val="16"/>
              <w:szCs w:val="16"/>
            </w:rPr>
            <w:instrText>NUMPAGES  \* Arabic  \* MERGEFORMAT</w:instrText>
          </w:r>
          <w:r w:rsidR="001829DB">
            <w:rPr>
              <w:rFonts w:ascii="Arabic Typesetting" w:hAnsi="Arabic Typesetting" w:cs="Arabic Typesetting"/>
              <w:b/>
              <w:i/>
              <w:iCs/>
              <w:noProof/>
              <w:sz w:val="16"/>
              <w:szCs w:val="16"/>
            </w:rPr>
            <w:fldChar w:fldCharType="separate"/>
          </w:r>
          <w:r w:rsidR="00BE61F4">
            <w:rPr>
              <w:rFonts w:ascii="Arabic Typesetting" w:hAnsi="Arabic Typesetting" w:cs="Arabic Typesetting"/>
              <w:b/>
              <w:i/>
              <w:iCs/>
              <w:noProof/>
              <w:sz w:val="16"/>
              <w:szCs w:val="16"/>
            </w:rPr>
            <w:t>3</w:t>
          </w:r>
          <w:r w:rsidR="001829DB">
            <w:rPr>
              <w:rFonts w:ascii="Arabic Typesetting" w:hAnsi="Arabic Typesetting" w:cs="Arabic Typesetting"/>
              <w:b/>
              <w:i/>
              <w:iCs/>
              <w:noProof/>
              <w:sz w:val="16"/>
              <w:szCs w:val="16"/>
            </w:rPr>
            <w:fldChar w:fldCharType="end"/>
          </w:r>
        </w:p>
      </w:tc>
    </w:tr>
  </w:tbl>
  <w:p w:rsidR="00A27E02" w:rsidRDefault="00A27E0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E02" w:rsidRDefault="00A27E02">
    <w:pPr>
      <w:pStyle w:val="Pieddepage"/>
    </w:pPr>
  </w:p>
  <w:p w:rsidR="00A27E02" w:rsidRDefault="00A27E0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955" w:type="pct"/>
      <w:tblBorders>
        <w:top w:val="single" w:sz="4" w:space="0" w:color="8064A2"/>
      </w:tblBorders>
      <w:tblLook w:val="04A0" w:firstRow="1" w:lastRow="0" w:firstColumn="1" w:lastColumn="0" w:noHBand="0" w:noVBand="1"/>
    </w:tblPr>
    <w:tblGrid>
      <w:gridCol w:w="7054"/>
      <w:gridCol w:w="1559"/>
      <w:gridCol w:w="1154"/>
    </w:tblGrid>
    <w:tr w:rsidR="0034524B" w:rsidRPr="00FE7F7C" w:rsidTr="006633F2">
      <w:trPr>
        <w:trHeight w:val="252"/>
      </w:trPr>
      <w:tc>
        <w:tcPr>
          <w:tcW w:w="3611" w:type="pct"/>
        </w:tcPr>
        <w:p w:rsidR="0034524B" w:rsidRPr="006633F2" w:rsidRDefault="0034524B" w:rsidP="006633F2">
          <w:pPr>
            <w:pStyle w:val="Pieddepage"/>
            <w:rPr>
              <w:rFonts w:ascii="Book Antiqua" w:hAnsi="Book Antiqua"/>
              <w:i/>
              <w:iCs/>
              <w:sz w:val="14"/>
              <w:szCs w:val="14"/>
            </w:rPr>
          </w:pPr>
          <w:r w:rsidRPr="006633F2">
            <w:rPr>
              <w:rFonts w:ascii="Arabic Typesetting" w:hAnsi="Arabic Typesetting" w:cs="Arabic Typesetting"/>
              <w:i/>
              <w:iCs/>
              <w:sz w:val="14"/>
              <w:szCs w:val="14"/>
            </w:rPr>
            <w:t>Enquêtes trimestrielles de conjoncture dans le commerce de gros et les services marchands non financiers</w:t>
          </w:r>
        </w:p>
      </w:tc>
      <w:tc>
        <w:tcPr>
          <w:tcW w:w="798" w:type="pct"/>
          <w:shd w:val="clear" w:color="auto" w:fill="auto"/>
        </w:tcPr>
        <w:p w:rsidR="0034524B" w:rsidRPr="006633F2" w:rsidRDefault="00F06FAB" w:rsidP="006633F2">
          <w:pPr>
            <w:pStyle w:val="Pieddepage"/>
            <w:rPr>
              <w:rFonts w:ascii="Arabic Typesetting" w:hAnsi="Arabic Typesetting" w:cs="Arabic Typesetting"/>
              <w:i/>
              <w:iCs/>
              <w:color w:val="FFFFFF"/>
              <w:sz w:val="14"/>
              <w:szCs w:val="14"/>
            </w:rPr>
          </w:pPr>
          <w:r w:rsidRPr="006633F2">
            <w:rPr>
              <w:rFonts w:ascii="Arabic Typesetting" w:hAnsi="Arabic Typesetting" w:cs="Arabic Typesetting"/>
              <w:i/>
              <w:iCs/>
              <w:sz w:val="14"/>
              <w:szCs w:val="14"/>
            </w:rPr>
            <w:t>HCP,</w:t>
          </w:r>
          <w:r w:rsidR="00D537CB" w:rsidRPr="006633F2">
            <w:rPr>
              <w:rFonts w:ascii="Arabic Typesetting" w:hAnsi="Arabic Typesetting" w:cs="Arabic Typesetting"/>
              <w:i/>
              <w:iCs/>
              <w:sz w:val="14"/>
              <w:szCs w:val="14"/>
            </w:rPr>
            <w:t>Juin</w:t>
          </w:r>
          <w:r w:rsidR="004D3B6B" w:rsidRPr="006633F2">
            <w:rPr>
              <w:rFonts w:ascii="Arabic Typesetting" w:hAnsi="Arabic Typesetting" w:cs="Arabic Typesetting"/>
              <w:i/>
              <w:iCs/>
              <w:sz w:val="14"/>
              <w:szCs w:val="14"/>
            </w:rPr>
            <w:t xml:space="preserve"> 2021</w:t>
          </w:r>
        </w:p>
      </w:tc>
      <w:tc>
        <w:tcPr>
          <w:tcW w:w="591" w:type="pct"/>
        </w:tcPr>
        <w:p w:rsidR="0034524B" w:rsidRPr="006633F2" w:rsidRDefault="0034524B" w:rsidP="006633F2">
          <w:pPr>
            <w:pStyle w:val="Pieddepage"/>
            <w:rPr>
              <w:rFonts w:ascii="Arabic Typesetting" w:hAnsi="Arabic Typesetting" w:cs="Arabic Typesetting"/>
              <w:i/>
              <w:iCs/>
              <w:sz w:val="14"/>
              <w:szCs w:val="14"/>
            </w:rPr>
          </w:pPr>
          <w:r w:rsidRPr="006633F2">
            <w:rPr>
              <w:rFonts w:ascii="Arabic Typesetting" w:hAnsi="Arabic Typesetting" w:cs="Arabic Typesetting"/>
              <w:i/>
              <w:iCs/>
              <w:sz w:val="14"/>
              <w:szCs w:val="14"/>
            </w:rPr>
            <w:t xml:space="preserve">Page </w:t>
          </w:r>
          <w:r w:rsidR="00263795" w:rsidRPr="006633F2">
            <w:rPr>
              <w:rFonts w:ascii="Arabic Typesetting" w:hAnsi="Arabic Typesetting" w:cs="Arabic Typesetting"/>
              <w:b/>
              <w:i/>
              <w:iCs/>
              <w:sz w:val="14"/>
              <w:szCs w:val="14"/>
            </w:rPr>
            <w:fldChar w:fldCharType="begin"/>
          </w:r>
          <w:r w:rsidRPr="006633F2">
            <w:rPr>
              <w:rFonts w:ascii="Arabic Typesetting" w:hAnsi="Arabic Typesetting" w:cs="Arabic Typesetting"/>
              <w:b/>
              <w:i/>
              <w:iCs/>
              <w:sz w:val="14"/>
              <w:szCs w:val="14"/>
            </w:rPr>
            <w:instrText>PAGE  \* Arabic  \* MERGEFORMAT</w:instrText>
          </w:r>
          <w:r w:rsidR="00263795" w:rsidRPr="006633F2">
            <w:rPr>
              <w:rFonts w:ascii="Arabic Typesetting" w:hAnsi="Arabic Typesetting" w:cs="Arabic Typesetting"/>
              <w:b/>
              <w:i/>
              <w:iCs/>
              <w:sz w:val="14"/>
              <w:szCs w:val="14"/>
            </w:rPr>
            <w:fldChar w:fldCharType="separate"/>
          </w:r>
          <w:r w:rsidR="00BE61F4">
            <w:rPr>
              <w:rFonts w:ascii="Arabic Typesetting" w:hAnsi="Arabic Typesetting" w:cs="Arabic Typesetting"/>
              <w:b/>
              <w:i/>
              <w:iCs/>
              <w:noProof/>
              <w:sz w:val="14"/>
              <w:szCs w:val="14"/>
            </w:rPr>
            <w:t>3</w:t>
          </w:r>
          <w:r w:rsidR="00263795" w:rsidRPr="006633F2">
            <w:rPr>
              <w:rFonts w:ascii="Arabic Typesetting" w:hAnsi="Arabic Typesetting" w:cs="Arabic Typesetting"/>
              <w:b/>
              <w:i/>
              <w:iCs/>
              <w:sz w:val="14"/>
              <w:szCs w:val="14"/>
            </w:rPr>
            <w:fldChar w:fldCharType="end"/>
          </w:r>
          <w:r w:rsidRPr="006633F2">
            <w:rPr>
              <w:rFonts w:ascii="Arabic Typesetting" w:hAnsi="Arabic Typesetting" w:cs="Arabic Typesetting"/>
              <w:i/>
              <w:iCs/>
              <w:sz w:val="14"/>
              <w:szCs w:val="14"/>
            </w:rPr>
            <w:t xml:space="preserve"> sur </w:t>
          </w:r>
          <w:r w:rsidR="001829DB">
            <w:rPr>
              <w:rFonts w:ascii="Arabic Typesetting" w:hAnsi="Arabic Typesetting" w:cs="Arabic Typesetting"/>
              <w:b/>
              <w:i/>
              <w:iCs/>
              <w:noProof/>
              <w:sz w:val="14"/>
              <w:szCs w:val="14"/>
            </w:rPr>
            <w:fldChar w:fldCharType="begin"/>
          </w:r>
          <w:r w:rsidR="001829DB">
            <w:rPr>
              <w:rFonts w:ascii="Arabic Typesetting" w:hAnsi="Arabic Typesetting" w:cs="Arabic Typesetting"/>
              <w:b/>
              <w:i/>
              <w:iCs/>
              <w:noProof/>
              <w:sz w:val="14"/>
              <w:szCs w:val="14"/>
            </w:rPr>
            <w:instrText>NUMPAGES  \* Arabic  \* MERGEFORMAT</w:instrText>
          </w:r>
          <w:r w:rsidR="001829DB">
            <w:rPr>
              <w:rFonts w:ascii="Arabic Typesetting" w:hAnsi="Arabic Typesetting" w:cs="Arabic Typesetting"/>
              <w:b/>
              <w:i/>
              <w:iCs/>
              <w:noProof/>
              <w:sz w:val="14"/>
              <w:szCs w:val="14"/>
            </w:rPr>
            <w:fldChar w:fldCharType="separate"/>
          </w:r>
          <w:r w:rsidR="00BE61F4">
            <w:rPr>
              <w:rFonts w:ascii="Arabic Typesetting" w:hAnsi="Arabic Typesetting" w:cs="Arabic Typesetting"/>
              <w:b/>
              <w:i/>
              <w:iCs/>
              <w:noProof/>
              <w:sz w:val="14"/>
              <w:szCs w:val="14"/>
            </w:rPr>
            <w:t>3</w:t>
          </w:r>
          <w:r w:rsidR="001829DB">
            <w:rPr>
              <w:rFonts w:ascii="Arabic Typesetting" w:hAnsi="Arabic Typesetting" w:cs="Arabic Typesetting"/>
              <w:b/>
              <w:i/>
              <w:iCs/>
              <w:noProof/>
              <w:sz w:val="14"/>
              <w:szCs w:val="14"/>
            </w:rPr>
            <w:fldChar w:fldCharType="end"/>
          </w:r>
        </w:p>
      </w:tc>
    </w:tr>
  </w:tbl>
  <w:p w:rsidR="0034524B" w:rsidRPr="007E64AF" w:rsidRDefault="0034524B" w:rsidP="007E64AF">
    <w:pPr>
      <w:pStyle w:val="Piedde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24B" w:rsidRDefault="00263795">
    <w:pPr>
      <w:pStyle w:val="Pieddepage"/>
      <w:jc w:val="center"/>
    </w:pPr>
    <w:r>
      <w:fldChar w:fldCharType="begin"/>
    </w:r>
    <w:r w:rsidR="00CC41EF">
      <w:instrText xml:space="preserve"> PAGE   \* MERGEFORMAT </w:instrText>
    </w:r>
    <w:r>
      <w:fldChar w:fldCharType="separate"/>
    </w:r>
    <w:r w:rsidR="0034524B">
      <w:rPr>
        <w:noProof/>
      </w:rPr>
      <w:t>1</w:t>
    </w:r>
    <w:r>
      <w:rPr>
        <w:noProof/>
      </w:rPr>
      <w:fldChar w:fldCharType="end"/>
    </w:r>
  </w:p>
  <w:p w:rsidR="0034524B" w:rsidRDefault="0034524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9DB" w:rsidRDefault="001829DB">
      <w:r>
        <w:separator/>
      </w:r>
    </w:p>
  </w:footnote>
  <w:footnote w:type="continuationSeparator" w:id="0">
    <w:p w:rsidR="001829DB" w:rsidRDefault="001829DB">
      <w:r>
        <w:continuationSeparator/>
      </w:r>
    </w:p>
  </w:footnote>
  <w:footnote w:id="1">
    <w:p w:rsidR="00520ECD" w:rsidRDefault="00520ECD">
      <w:pPr>
        <w:pStyle w:val="Notedebasdepage"/>
      </w:pPr>
      <w:r>
        <w:rPr>
          <w:rStyle w:val="Appelnotedebasdep"/>
        </w:rPr>
        <w:footnoteRef/>
      </w:r>
      <w:r w:rsidR="00E56557" w:rsidRPr="00E56557">
        <w:rPr>
          <w:i/>
          <w:iCs/>
          <w:sz w:val="16"/>
          <w:szCs w:val="16"/>
        </w:rPr>
        <w:t>Comprend principalement le commerce de gros de combustibles, de minerais et de métaux.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pt;height:11pt" o:bullet="t">
        <v:imagedata r:id="rId1" o:title="mso164"/>
      </v:shape>
    </w:pict>
  </w:numPicBullet>
  <w:abstractNum w:abstractNumId="0" w15:restartNumberingAfterBreak="0">
    <w:nsid w:val="0A69045A"/>
    <w:multiLevelType w:val="hybridMultilevel"/>
    <w:tmpl w:val="1BCCE98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CE5D78"/>
    <w:multiLevelType w:val="multilevel"/>
    <w:tmpl w:val="50A41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D826D30"/>
    <w:multiLevelType w:val="hybridMultilevel"/>
    <w:tmpl w:val="75D62D98"/>
    <w:lvl w:ilvl="0" w:tplc="64B289A2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32988"/>
    <w:multiLevelType w:val="hybridMultilevel"/>
    <w:tmpl w:val="7A58165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D3C6D"/>
    <w:multiLevelType w:val="multilevel"/>
    <w:tmpl w:val="D8DE499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48F6636"/>
    <w:multiLevelType w:val="hybridMultilevel"/>
    <w:tmpl w:val="2BACCC2E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EE6D85"/>
    <w:multiLevelType w:val="multilevel"/>
    <w:tmpl w:val="36942B3C"/>
    <w:lvl w:ilvl="0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93836"/>
    <w:multiLevelType w:val="hybridMultilevel"/>
    <w:tmpl w:val="47AE5F22"/>
    <w:lvl w:ilvl="0" w:tplc="9E384520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25698F"/>
    <w:multiLevelType w:val="hybridMultilevel"/>
    <w:tmpl w:val="520E5C48"/>
    <w:lvl w:ilvl="0" w:tplc="040C000F">
      <w:start w:val="1"/>
      <w:numFmt w:val="decimal"/>
      <w:lvlText w:val="%1."/>
      <w:lvlJc w:val="left"/>
      <w:pPr>
        <w:ind w:left="840" w:hanging="360"/>
      </w:pPr>
    </w:lvl>
    <w:lvl w:ilvl="1" w:tplc="040C0019" w:tentative="1">
      <w:start w:val="1"/>
      <w:numFmt w:val="lowerLetter"/>
      <w:lvlText w:val="%2."/>
      <w:lvlJc w:val="left"/>
      <w:pPr>
        <w:ind w:left="1560" w:hanging="360"/>
      </w:pPr>
    </w:lvl>
    <w:lvl w:ilvl="2" w:tplc="040C001B" w:tentative="1">
      <w:start w:val="1"/>
      <w:numFmt w:val="lowerRoman"/>
      <w:lvlText w:val="%3."/>
      <w:lvlJc w:val="right"/>
      <w:pPr>
        <w:ind w:left="2280" w:hanging="180"/>
      </w:pPr>
    </w:lvl>
    <w:lvl w:ilvl="3" w:tplc="040C000F" w:tentative="1">
      <w:start w:val="1"/>
      <w:numFmt w:val="decimal"/>
      <w:lvlText w:val="%4."/>
      <w:lvlJc w:val="left"/>
      <w:pPr>
        <w:ind w:left="3000" w:hanging="360"/>
      </w:pPr>
    </w:lvl>
    <w:lvl w:ilvl="4" w:tplc="040C0019" w:tentative="1">
      <w:start w:val="1"/>
      <w:numFmt w:val="lowerLetter"/>
      <w:lvlText w:val="%5."/>
      <w:lvlJc w:val="left"/>
      <w:pPr>
        <w:ind w:left="3720" w:hanging="360"/>
      </w:pPr>
    </w:lvl>
    <w:lvl w:ilvl="5" w:tplc="040C001B" w:tentative="1">
      <w:start w:val="1"/>
      <w:numFmt w:val="lowerRoman"/>
      <w:lvlText w:val="%6."/>
      <w:lvlJc w:val="right"/>
      <w:pPr>
        <w:ind w:left="4440" w:hanging="180"/>
      </w:pPr>
    </w:lvl>
    <w:lvl w:ilvl="6" w:tplc="040C000F" w:tentative="1">
      <w:start w:val="1"/>
      <w:numFmt w:val="decimal"/>
      <w:lvlText w:val="%7."/>
      <w:lvlJc w:val="left"/>
      <w:pPr>
        <w:ind w:left="5160" w:hanging="360"/>
      </w:pPr>
    </w:lvl>
    <w:lvl w:ilvl="7" w:tplc="040C0019" w:tentative="1">
      <w:start w:val="1"/>
      <w:numFmt w:val="lowerLetter"/>
      <w:lvlText w:val="%8."/>
      <w:lvlJc w:val="left"/>
      <w:pPr>
        <w:ind w:left="5880" w:hanging="360"/>
      </w:pPr>
    </w:lvl>
    <w:lvl w:ilvl="8" w:tplc="040C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30D816DB"/>
    <w:multiLevelType w:val="hybridMultilevel"/>
    <w:tmpl w:val="6A0241CC"/>
    <w:lvl w:ilvl="0" w:tplc="C540E2B2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  <w:sz w:val="28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B6D70"/>
    <w:multiLevelType w:val="hybridMultilevel"/>
    <w:tmpl w:val="680C239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077F0"/>
    <w:multiLevelType w:val="hybridMultilevel"/>
    <w:tmpl w:val="FC9ED812"/>
    <w:lvl w:ilvl="0" w:tplc="DD045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F57B4"/>
    <w:multiLevelType w:val="hybridMultilevel"/>
    <w:tmpl w:val="C730108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61D09"/>
    <w:multiLevelType w:val="hybridMultilevel"/>
    <w:tmpl w:val="50CE411A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E7929"/>
    <w:multiLevelType w:val="hybridMultilevel"/>
    <w:tmpl w:val="F68AA54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ECF5722"/>
    <w:multiLevelType w:val="hybridMultilevel"/>
    <w:tmpl w:val="06704A08"/>
    <w:lvl w:ilvl="0" w:tplc="C9622FC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F2A7D"/>
    <w:multiLevelType w:val="hybridMultilevel"/>
    <w:tmpl w:val="56B23EB2"/>
    <w:lvl w:ilvl="0" w:tplc="5D6C4B84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01777C"/>
    <w:multiLevelType w:val="multilevel"/>
    <w:tmpl w:val="50E27D9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8" w15:restartNumberingAfterBreak="0">
    <w:nsid w:val="42EB060C"/>
    <w:multiLevelType w:val="hybridMultilevel"/>
    <w:tmpl w:val="4C1ADF4E"/>
    <w:lvl w:ilvl="0" w:tplc="040C0013">
      <w:start w:val="1"/>
      <w:numFmt w:val="upperRoman"/>
      <w:lvlText w:val="%1."/>
      <w:lvlJc w:val="right"/>
      <w:pPr>
        <w:ind w:left="928" w:hanging="360"/>
      </w:p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9" w15:restartNumberingAfterBreak="0">
    <w:nsid w:val="4D35388E"/>
    <w:multiLevelType w:val="hybridMultilevel"/>
    <w:tmpl w:val="E3549FF2"/>
    <w:lvl w:ilvl="0" w:tplc="05FE1CA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70CC0"/>
    <w:multiLevelType w:val="hybridMultilevel"/>
    <w:tmpl w:val="B980DA58"/>
    <w:lvl w:ilvl="0" w:tplc="040C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8BE3432"/>
    <w:multiLevelType w:val="hybridMultilevel"/>
    <w:tmpl w:val="3DFC6EF4"/>
    <w:lvl w:ilvl="0" w:tplc="5D6C4B84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577784"/>
    <w:multiLevelType w:val="multilevel"/>
    <w:tmpl w:val="50E27D9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3" w15:restartNumberingAfterBreak="0">
    <w:nsid w:val="6785373F"/>
    <w:multiLevelType w:val="hybridMultilevel"/>
    <w:tmpl w:val="7B68C818"/>
    <w:lvl w:ilvl="0" w:tplc="BF26965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936DFC"/>
    <w:multiLevelType w:val="hybridMultilevel"/>
    <w:tmpl w:val="36942B3C"/>
    <w:lvl w:ilvl="0" w:tplc="7E7242D4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C4120A"/>
    <w:multiLevelType w:val="hybridMultilevel"/>
    <w:tmpl w:val="70864E24"/>
    <w:lvl w:ilvl="0" w:tplc="4CF010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1A79C2"/>
    <w:multiLevelType w:val="hybridMultilevel"/>
    <w:tmpl w:val="96780754"/>
    <w:lvl w:ilvl="0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CEE025C"/>
    <w:multiLevelType w:val="hybridMultilevel"/>
    <w:tmpl w:val="6672A4E8"/>
    <w:lvl w:ilvl="0" w:tplc="A23EBBE6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24"/>
  </w:num>
  <w:num w:numId="4">
    <w:abstractNumId w:val="6"/>
  </w:num>
  <w:num w:numId="5">
    <w:abstractNumId w:val="25"/>
  </w:num>
  <w:num w:numId="6">
    <w:abstractNumId w:val="18"/>
  </w:num>
  <w:num w:numId="7">
    <w:abstractNumId w:val="8"/>
  </w:num>
  <w:num w:numId="8">
    <w:abstractNumId w:val="15"/>
  </w:num>
  <w:num w:numId="9">
    <w:abstractNumId w:val="27"/>
  </w:num>
  <w:num w:numId="10">
    <w:abstractNumId w:val="19"/>
  </w:num>
  <w:num w:numId="11">
    <w:abstractNumId w:val="7"/>
  </w:num>
  <w:num w:numId="12">
    <w:abstractNumId w:val="14"/>
  </w:num>
  <w:num w:numId="13">
    <w:abstractNumId w:val="23"/>
  </w:num>
  <w:num w:numId="14">
    <w:abstractNumId w:val="20"/>
  </w:num>
  <w:num w:numId="15">
    <w:abstractNumId w:val="10"/>
  </w:num>
  <w:num w:numId="16">
    <w:abstractNumId w:val="21"/>
  </w:num>
  <w:num w:numId="17">
    <w:abstractNumId w:val="12"/>
  </w:num>
  <w:num w:numId="18">
    <w:abstractNumId w:val="3"/>
  </w:num>
  <w:num w:numId="19">
    <w:abstractNumId w:val="16"/>
  </w:num>
  <w:num w:numId="20">
    <w:abstractNumId w:val="9"/>
  </w:num>
  <w:num w:numId="21">
    <w:abstractNumId w:val="11"/>
  </w:num>
  <w:num w:numId="22">
    <w:abstractNumId w:val="13"/>
  </w:num>
  <w:num w:numId="23">
    <w:abstractNumId w:val="4"/>
  </w:num>
  <w:num w:numId="24">
    <w:abstractNumId w:val="17"/>
  </w:num>
  <w:num w:numId="25">
    <w:abstractNumId w:val="26"/>
  </w:num>
  <w:num w:numId="26">
    <w:abstractNumId w:val="0"/>
  </w:num>
  <w:num w:numId="27">
    <w:abstractNumId w:val="2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C79"/>
    <w:rsid w:val="00001027"/>
    <w:rsid w:val="00001597"/>
    <w:rsid w:val="00001BFB"/>
    <w:rsid w:val="00003EB6"/>
    <w:rsid w:val="0000658E"/>
    <w:rsid w:val="00006861"/>
    <w:rsid w:val="00006DD3"/>
    <w:rsid w:val="00007E73"/>
    <w:rsid w:val="0001021C"/>
    <w:rsid w:val="00014315"/>
    <w:rsid w:val="00014569"/>
    <w:rsid w:val="00015334"/>
    <w:rsid w:val="00015F2E"/>
    <w:rsid w:val="0001607C"/>
    <w:rsid w:val="00024F6E"/>
    <w:rsid w:val="000252E3"/>
    <w:rsid w:val="00027098"/>
    <w:rsid w:val="00027290"/>
    <w:rsid w:val="000275EF"/>
    <w:rsid w:val="00030112"/>
    <w:rsid w:val="00030694"/>
    <w:rsid w:val="00031105"/>
    <w:rsid w:val="00031605"/>
    <w:rsid w:val="00031658"/>
    <w:rsid w:val="0003327E"/>
    <w:rsid w:val="0003329C"/>
    <w:rsid w:val="000346C6"/>
    <w:rsid w:val="0003539C"/>
    <w:rsid w:val="000355C5"/>
    <w:rsid w:val="00040701"/>
    <w:rsid w:val="00040CC9"/>
    <w:rsid w:val="00043887"/>
    <w:rsid w:val="00043D21"/>
    <w:rsid w:val="0004622E"/>
    <w:rsid w:val="000520B5"/>
    <w:rsid w:val="00053B61"/>
    <w:rsid w:val="00053F91"/>
    <w:rsid w:val="00054FA1"/>
    <w:rsid w:val="000554EE"/>
    <w:rsid w:val="00056535"/>
    <w:rsid w:val="00061E0A"/>
    <w:rsid w:val="000629AD"/>
    <w:rsid w:val="00063FE6"/>
    <w:rsid w:val="00065C48"/>
    <w:rsid w:val="00066D8C"/>
    <w:rsid w:val="000674E0"/>
    <w:rsid w:val="00070C2B"/>
    <w:rsid w:val="000712D9"/>
    <w:rsid w:val="00071CFC"/>
    <w:rsid w:val="00072C38"/>
    <w:rsid w:val="00072EF6"/>
    <w:rsid w:val="000737AF"/>
    <w:rsid w:val="00073EB9"/>
    <w:rsid w:val="00074098"/>
    <w:rsid w:val="0007603B"/>
    <w:rsid w:val="000761DD"/>
    <w:rsid w:val="00076224"/>
    <w:rsid w:val="0007624B"/>
    <w:rsid w:val="00077834"/>
    <w:rsid w:val="00077F17"/>
    <w:rsid w:val="00081377"/>
    <w:rsid w:val="0008193A"/>
    <w:rsid w:val="00082B1B"/>
    <w:rsid w:val="0008375A"/>
    <w:rsid w:val="00084B71"/>
    <w:rsid w:val="00084E52"/>
    <w:rsid w:val="00085D82"/>
    <w:rsid w:val="00086874"/>
    <w:rsid w:val="00087548"/>
    <w:rsid w:val="000879A1"/>
    <w:rsid w:val="000918B0"/>
    <w:rsid w:val="000929B1"/>
    <w:rsid w:val="00092C74"/>
    <w:rsid w:val="00094FEE"/>
    <w:rsid w:val="000970E6"/>
    <w:rsid w:val="00097732"/>
    <w:rsid w:val="000A22F2"/>
    <w:rsid w:val="000A2AE4"/>
    <w:rsid w:val="000A54F8"/>
    <w:rsid w:val="000A76F1"/>
    <w:rsid w:val="000A7710"/>
    <w:rsid w:val="000B0A3A"/>
    <w:rsid w:val="000B11F9"/>
    <w:rsid w:val="000B176A"/>
    <w:rsid w:val="000B1D9D"/>
    <w:rsid w:val="000B2A3E"/>
    <w:rsid w:val="000B5B84"/>
    <w:rsid w:val="000B63A9"/>
    <w:rsid w:val="000B6C46"/>
    <w:rsid w:val="000B774B"/>
    <w:rsid w:val="000C02B3"/>
    <w:rsid w:val="000C3D1B"/>
    <w:rsid w:val="000C424E"/>
    <w:rsid w:val="000C51C3"/>
    <w:rsid w:val="000C648A"/>
    <w:rsid w:val="000C6504"/>
    <w:rsid w:val="000C7B65"/>
    <w:rsid w:val="000D2293"/>
    <w:rsid w:val="000D3979"/>
    <w:rsid w:val="000D4A9A"/>
    <w:rsid w:val="000E0F26"/>
    <w:rsid w:val="000E1335"/>
    <w:rsid w:val="000E211D"/>
    <w:rsid w:val="000E2728"/>
    <w:rsid w:val="000E36F4"/>
    <w:rsid w:val="000E5893"/>
    <w:rsid w:val="000E6EEF"/>
    <w:rsid w:val="000E76B0"/>
    <w:rsid w:val="000F0587"/>
    <w:rsid w:val="000F128A"/>
    <w:rsid w:val="000F218D"/>
    <w:rsid w:val="000F2C5E"/>
    <w:rsid w:val="000F4380"/>
    <w:rsid w:val="000F5C8D"/>
    <w:rsid w:val="000F640E"/>
    <w:rsid w:val="000F6813"/>
    <w:rsid w:val="000F71D1"/>
    <w:rsid w:val="00100AF5"/>
    <w:rsid w:val="00101C94"/>
    <w:rsid w:val="0010285F"/>
    <w:rsid w:val="001035DB"/>
    <w:rsid w:val="00103C6C"/>
    <w:rsid w:val="00106D8E"/>
    <w:rsid w:val="00107444"/>
    <w:rsid w:val="00112C19"/>
    <w:rsid w:val="001140C8"/>
    <w:rsid w:val="0011438C"/>
    <w:rsid w:val="00115472"/>
    <w:rsid w:val="00116B45"/>
    <w:rsid w:val="00117B80"/>
    <w:rsid w:val="001220FB"/>
    <w:rsid w:val="00123B0E"/>
    <w:rsid w:val="00123DF6"/>
    <w:rsid w:val="001245E1"/>
    <w:rsid w:val="0012635D"/>
    <w:rsid w:val="00127090"/>
    <w:rsid w:val="00127FED"/>
    <w:rsid w:val="0013024F"/>
    <w:rsid w:val="001308D6"/>
    <w:rsid w:val="00130C78"/>
    <w:rsid w:val="00131078"/>
    <w:rsid w:val="00131EDC"/>
    <w:rsid w:val="00131F50"/>
    <w:rsid w:val="00133AA7"/>
    <w:rsid w:val="00134E25"/>
    <w:rsid w:val="00135176"/>
    <w:rsid w:val="00136B92"/>
    <w:rsid w:val="00136BC4"/>
    <w:rsid w:val="00136F6A"/>
    <w:rsid w:val="00137652"/>
    <w:rsid w:val="00137E05"/>
    <w:rsid w:val="00140B58"/>
    <w:rsid w:val="0014114C"/>
    <w:rsid w:val="00141C36"/>
    <w:rsid w:val="0014356F"/>
    <w:rsid w:val="00144168"/>
    <w:rsid w:val="0014496A"/>
    <w:rsid w:val="00145A87"/>
    <w:rsid w:val="00145B56"/>
    <w:rsid w:val="00151644"/>
    <w:rsid w:val="00152940"/>
    <w:rsid w:val="001542A4"/>
    <w:rsid w:val="00155CF6"/>
    <w:rsid w:val="001575EB"/>
    <w:rsid w:val="00157A43"/>
    <w:rsid w:val="00160B9E"/>
    <w:rsid w:val="00160E74"/>
    <w:rsid w:val="00163592"/>
    <w:rsid w:val="00164075"/>
    <w:rsid w:val="001642BB"/>
    <w:rsid w:val="001668AF"/>
    <w:rsid w:val="0017017D"/>
    <w:rsid w:val="001724B1"/>
    <w:rsid w:val="0017323F"/>
    <w:rsid w:val="00173818"/>
    <w:rsid w:val="001743EC"/>
    <w:rsid w:val="001756B8"/>
    <w:rsid w:val="00177E0A"/>
    <w:rsid w:val="00177EF1"/>
    <w:rsid w:val="00180BD1"/>
    <w:rsid w:val="001829DB"/>
    <w:rsid w:val="0018450C"/>
    <w:rsid w:val="0018514D"/>
    <w:rsid w:val="00186050"/>
    <w:rsid w:val="00186907"/>
    <w:rsid w:val="00186F4B"/>
    <w:rsid w:val="001909C9"/>
    <w:rsid w:val="00190AF4"/>
    <w:rsid w:val="00193033"/>
    <w:rsid w:val="00193C6B"/>
    <w:rsid w:val="0019527A"/>
    <w:rsid w:val="00195980"/>
    <w:rsid w:val="00195CBA"/>
    <w:rsid w:val="00195DA8"/>
    <w:rsid w:val="00196035"/>
    <w:rsid w:val="00197A52"/>
    <w:rsid w:val="001A0BE8"/>
    <w:rsid w:val="001A1553"/>
    <w:rsid w:val="001A1CA6"/>
    <w:rsid w:val="001A1D6A"/>
    <w:rsid w:val="001A2895"/>
    <w:rsid w:val="001A2AA6"/>
    <w:rsid w:val="001A3455"/>
    <w:rsid w:val="001A3B6C"/>
    <w:rsid w:val="001A51B3"/>
    <w:rsid w:val="001A6F8A"/>
    <w:rsid w:val="001B0372"/>
    <w:rsid w:val="001B0598"/>
    <w:rsid w:val="001B0A0B"/>
    <w:rsid w:val="001B139D"/>
    <w:rsid w:val="001B3EBA"/>
    <w:rsid w:val="001B5764"/>
    <w:rsid w:val="001B5FC9"/>
    <w:rsid w:val="001B6791"/>
    <w:rsid w:val="001B7547"/>
    <w:rsid w:val="001C0231"/>
    <w:rsid w:val="001C11EB"/>
    <w:rsid w:val="001C3920"/>
    <w:rsid w:val="001D119E"/>
    <w:rsid w:val="001D4315"/>
    <w:rsid w:val="001D6519"/>
    <w:rsid w:val="001D69A9"/>
    <w:rsid w:val="001D6A2F"/>
    <w:rsid w:val="001E31B9"/>
    <w:rsid w:val="001E4E9F"/>
    <w:rsid w:val="001F1C05"/>
    <w:rsid w:val="001F2033"/>
    <w:rsid w:val="001F3599"/>
    <w:rsid w:val="001F6BEB"/>
    <w:rsid w:val="001F6CF9"/>
    <w:rsid w:val="002037EA"/>
    <w:rsid w:val="00203FD6"/>
    <w:rsid w:val="002042D7"/>
    <w:rsid w:val="00205EC6"/>
    <w:rsid w:val="00206659"/>
    <w:rsid w:val="00207A20"/>
    <w:rsid w:val="00210596"/>
    <w:rsid w:val="0021131F"/>
    <w:rsid w:val="00212226"/>
    <w:rsid w:val="002139D9"/>
    <w:rsid w:val="00213F44"/>
    <w:rsid w:val="00214B2E"/>
    <w:rsid w:val="00215236"/>
    <w:rsid w:val="002164FB"/>
    <w:rsid w:val="00221093"/>
    <w:rsid w:val="00222443"/>
    <w:rsid w:val="0022299E"/>
    <w:rsid w:val="00223183"/>
    <w:rsid w:val="002245C8"/>
    <w:rsid w:val="00225921"/>
    <w:rsid w:val="002270B0"/>
    <w:rsid w:val="002271E6"/>
    <w:rsid w:val="002272AA"/>
    <w:rsid w:val="00230AAB"/>
    <w:rsid w:val="002312A1"/>
    <w:rsid w:val="00231546"/>
    <w:rsid w:val="00231600"/>
    <w:rsid w:val="0023174D"/>
    <w:rsid w:val="00232A61"/>
    <w:rsid w:val="00233459"/>
    <w:rsid w:val="00233CC1"/>
    <w:rsid w:val="00236B5B"/>
    <w:rsid w:val="002379E8"/>
    <w:rsid w:val="00240A62"/>
    <w:rsid w:val="00241152"/>
    <w:rsid w:val="00241D64"/>
    <w:rsid w:val="0024398F"/>
    <w:rsid w:val="00245DB3"/>
    <w:rsid w:val="002461D8"/>
    <w:rsid w:val="0024673C"/>
    <w:rsid w:val="00251068"/>
    <w:rsid w:val="002559DF"/>
    <w:rsid w:val="00255A3E"/>
    <w:rsid w:val="00255D79"/>
    <w:rsid w:val="00256291"/>
    <w:rsid w:val="00257B2B"/>
    <w:rsid w:val="00257C74"/>
    <w:rsid w:val="00260217"/>
    <w:rsid w:val="002612E0"/>
    <w:rsid w:val="0026234C"/>
    <w:rsid w:val="002627BA"/>
    <w:rsid w:val="00262AAB"/>
    <w:rsid w:val="00262B44"/>
    <w:rsid w:val="00262EF0"/>
    <w:rsid w:val="00263259"/>
    <w:rsid w:val="00263795"/>
    <w:rsid w:val="00264FA6"/>
    <w:rsid w:val="00265A87"/>
    <w:rsid w:val="00265AB0"/>
    <w:rsid w:val="002668FE"/>
    <w:rsid w:val="00270A31"/>
    <w:rsid w:val="00272333"/>
    <w:rsid w:val="00272F91"/>
    <w:rsid w:val="00275FD7"/>
    <w:rsid w:val="002760BD"/>
    <w:rsid w:val="00276A79"/>
    <w:rsid w:val="002770BB"/>
    <w:rsid w:val="00277543"/>
    <w:rsid w:val="002777C2"/>
    <w:rsid w:val="00280273"/>
    <w:rsid w:val="00283E97"/>
    <w:rsid w:val="00286F23"/>
    <w:rsid w:val="00290BF8"/>
    <w:rsid w:val="002918E4"/>
    <w:rsid w:val="002922B3"/>
    <w:rsid w:val="00297E4C"/>
    <w:rsid w:val="002A44EF"/>
    <w:rsid w:val="002A6949"/>
    <w:rsid w:val="002A7064"/>
    <w:rsid w:val="002A7221"/>
    <w:rsid w:val="002A72C0"/>
    <w:rsid w:val="002B1E65"/>
    <w:rsid w:val="002B25C8"/>
    <w:rsid w:val="002B2B90"/>
    <w:rsid w:val="002B3080"/>
    <w:rsid w:val="002B31F7"/>
    <w:rsid w:val="002B472F"/>
    <w:rsid w:val="002B5B72"/>
    <w:rsid w:val="002B60A0"/>
    <w:rsid w:val="002B69E5"/>
    <w:rsid w:val="002B6DCE"/>
    <w:rsid w:val="002B78A1"/>
    <w:rsid w:val="002B7C85"/>
    <w:rsid w:val="002C1917"/>
    <w:rsid w:val="002C40A0"/>
    <w:rsid w:val="002C505C"/>
    <w:rsid w:val="002C56BD"/>
    <w:rsid w:val="002C5C01"/>
    <w:rsid w:val="002C6ACA"/>
    <w:rsid w:val="002D11EB"/>
    <w:rsid w:val="002D2D7F"/>
    <w:rsid w:val="002D38C3"/>
    <w:rsid w:val="002D3BD2"/>
    <w:rsid w:val="002D5168"/>
    <w:rsid w:val="002D5268"/>
    <w:rsid w:val="002D5441"/>
    <w:rsid w:val="002D63A7"/>
    <w:rsid w:val="002D7B3A"/>
    <w:rsid w:val="002D7BAA"/>
    <w:rsid w:val="002E0160"/>
    <w:rsid w:val="002E1737"/>
    <w:rsid w:val="002E224E"/>
    <w:rsid w:val="002E66C3"/>
    <w:rsid w:val="002E750F"/>
    <w:rsid w:val="002F1741"/>
    <w:rsid w:val="002F200F"/>
    <w:rsid w:val="002F3FB3"/>
    <w:rsid w:val="002F4652"/>
    <w:rsid w:val="002F537D"/>
    <w:rsid w:val="002F56B1"/>
    <w:rsid w:val="002F5C54"/>
    <w:rsid w:val="002F66D1"/>
    <w:rsid w:val="002F6734"/>
    <w:rsid w:val="00300E77"/>
    <w:rsid w:val="00301BCF"/>
    <w:rsid w:val="003027A9"/>
    <w:rsid w:val="00302E80"/>
    <w:rsid w:val="00303431"/>
    <w:rsid w:val="00304272"/>
    <w:rsid w:val="00305B12"/>
    <w:rsid w:val="0030605C"/>
    <w:rsid w:val="003068A6"/>
    <w:rsid w:val="00307146"/>
    <w:rsid w:val="0030798E"/>
    <w:rsid w:val="003121A0"/>
    <w:rsid w:val="00312DB8"/>
    <w:rsid w:val="00312DC7"/>
    <w:rsid w:val="00313123"/>
    <w:rsid w:val="00313294"/>
    <w:rsid w:val="00314191"/>
    <w:rsid w:val="00315057"/>
    <w:rsid w:val="00316F8C"/>
    <w:rsid w:val="003211BF"/>
    <w:rsid w:val="00321625"/>
    <w:rsid w:val="00322991"/>
    <w:rsid w:val="00324D86"/>
    <w:rsid w:val="00324F3E"/>
    <w:rsid w:val="003274C3"/>
    <w:rsid w:val="00327543"/>
    <w:rsid w:val="0032757B"/>
    <w:rsid w:val="003329F7"/>
    <w:rsid w:val="0033375A"/>
    <w:rsid w:val="00337DB4"/>
    <w:rsid w:val="0034308B"/>
    <w:rsid w:val="00343582"/>
    <w:rsid w:val="0034524B"/>
    <w:rsid w:val="00347CCD"/>
    <w:rsid w:val="00351D4C"/>
    <w:rsid w:val="00354B80"/>
    <w:rsid w:val="0035569E"/>
    <w:rsid w:val="00356D34"/>
    <w:rsid w:val="00360BC0"/>
    <w:rsid w:val="00360CCF"/>
    <w:rsid w:val="0036122E"/>
    <w:rsid w:val="0036378F"/>
    <w:rsid w:val="00365978"/>
    <w:rsid w:val="00365D71"/>
    <w:rsid w:val="0036616B"/>
    <w:rsid w:val="003676A5"/>
    <w:rsid w:val="00370391"/>
    <w:rsid w:val="003736D4"/>
    <w:rsid w:val="00373C30"/>
    <w:rsid w:val="003749D2"/>
    <w:rsid w:val="00377B93"/>
    <w:rsid w:val="00380D2A"/>
    <w:rsid w:val="00382708"/>
    <w:rsid w:val="00382A31"/>
    <w:rsid w:val="0038590B"/>
    <w:rsid w:val="003869BE"/>
    <w:rsid w:val="00391C3C"/>
    <w:rsid w:val="00393065"/>
    <w:rsid w:val="0039594B"/>
    <w:rsid w:val="00396071"/>
    <w:rsid w:val="0039671A"/>
    <w:rsid w:val="00396A42"/>
    <w:rsid w:val="003A2B92"/>
    <w:rsid w:val="003A2CE4"/>
    <w:rsid w:val="003A2F23"/>
    <w:rsid w:val="003B17BE"/>
    <w:rsid w:val="003B2D56"/>
    <w:rsid w:val="003B3D1C"/>
    <w:rsid w:val="003B4FCC"/>
    <w:rsid w:val="003B5858"/>
    <w:rsid w:val="003B5F82"/>
    <w:rsid w:val="003B7C9A"/>
    <w:rsid w:val="003C1B70"/>
    <w:rsid w:val="003C2031"/>
    <w:rsid w:val="003C288F"/>
    <w:rsid w:val="003C35A7"/>
    <w:rsid w:val="003C4DBD"/>
    <w:rsid w:val="003C673C"/>
    <w:rsid w:val="003D0786"/>
    <w:rsid w:val="003D079B"/>
    <w:rsid w:val="003D0B92"/>
    <w:rsid w:val="003D1551"/>
    <w:rsid w:val="003D2E14"/>
    <w:rsid w:val="003D68CD"/>
    <w:rsid w:val="003E1274"/>
    <w:rsid w:val="003E208A"/>
    <w:rsid w:val="003E2E49"/>
    <w:rsid w:val="003E37F2"/>
    <w:rsid w:val="003E4FE1"/>
    <w:rsid w:val="003E6936"/>
    <w:rsid w:val="003F0244"/>
    <w:rsid w:val="003F28EA"/>
    <w:rsid w:val="003F3B9B"/>
    <w:rsid w:val="003F525F"/>
    <w:rsid w:val="003F5476"/>
    <w:rsid w:val="003F5BF6"/>
    <w:rsid w:val="003F65B5"/>
    <w:rsid w:val="003F7BFE"/>
    <w:rsid w:val="00400965"/>
    <w:rsid w:val="00405164"/>
    <w:rsid w:val="00405781"/>
    <w:rsid w:val="004064F0"/>
    <w:rsid w:val="004139AA"/>
    <w:rsid w:val="00415402"/>
    <w:rsid w:val="0041559A"/>
    <w:rsid w:val="00416092"/>
    <w:rsid w:val="00417EDD"/>
    <w:rsid w:val="00420302"/>
    <w:rsid w:val="00421BFD"/>
    <w:rsid w:val="0042232E"/>
    <w:rsid w:val="00422D2B"/>
    <w:rsid w:val="004235DE"/>
    <w:rsid w:val="004249F6"/>
    <w:rsid w:val="00426569"/>
    <w:rsid w:val="00427014"/>
    <w:rsid w:val="004301CD"/>
    <w:rsid w:val="00431972"/>
    <w:rsid w:val="00434088"/>
    <w:rsid w:val="00435B96"/>
    <w:rsid w:val="00436AE5"/>
    <w:rsid w:val="00437A6C"/>
    <w:rsid w:val="004409F3"/>
    <w:rsid w:val="004416D6"/>
    <w:rsid w:val="0044331A"/>
    <w:rsid w:val="00443784"/>
    <w:rsid w:val="004469F1"/>
    <w:rsid w:val="00446DB7"/>
    <w:rsid w:val="00454991"/>
    <w:rsid w:val="00456E49"/>
    <w:rsid w:val="00456F3C"/>
    <w:rsid w:val="004617CB"/>
    <w:rsid w:val="0046498E"/>
    <w:rsid w:val="00464C76"/>
    <w:rsid w:val="004659F5"/>
    <w:rsid w:val="00465ADA"/>
    <w:rsid w:val="0046699E"/>
    <w:rsid w:val="00466D6E"/>
    <w:rsid w:val="00470F06"/>
    <w:rsid w:val="00471B68"/>
    <w:rsid w:val="00471DB6"/>
    <w:rsid w:val="00474FBE"/>
    <w:rsid w:val="0048076F"/>
    <w:rsid w:val="00480B1C"/>
    <w:rsid w:val="0048110B"/>
    <w:rsid w:val="00482157"/>
    <w:rsid w:val="00482BDD"/>
    <w:rsid w:val="00482F51"/>
    <w:rsid w:val="00483758"/>
    <w:rsid w:val="00483904"/>
    <w:rsid w:val="00483E54"/>
    <w:rsid w:val="00484898"/>
    <w:rsid w:val="00484E8D"/>
    <w:rsid w:val="00485805"/>
    <w:rsid w:val="00487A97"/>
    <w:rsid w:val="004911A0"/>
    <w:rsid w:val="004915DF"/>
    <w:rsid w:val="00491F4E"/>
    <w:rsid w:val="00493C90"/>
    <w:rsid w:val="00496262"/>
    <w:rsid w:val="004A0475"/>
    <w:rsid w:val="004A2931"/>
    <w:rsid w:val="004A2AD5"/>
    <w:rsid w:val="004A30D8"/>
    <w:rsid w:val="004A4252"/>
    <w:rsid w:val="004A4257"/>
    <w:rsid w:val="004A4821"/>
    <w:rsid w:val="004A6144"/>
    <w:rsid w:val="004A6609"/>
    <w:rsid w:val="004A6731"/>
    <w:rsid w:val="004A6819"/>
    <w:rsid w:val="004A68CD"/>
    <w:rsid w:val="004A73E9"/>
    <w:rsid w:val="004A78A4"/>
    <w:rsid w:val="004A7CEC"/>
    <w:rsid w:val="004A7EF1"/>
    <w:rsid w:val="004B1FA4"/>
    <w:rsid w:val="004B2117"/>
    <w:rsid w:val="004B2860"/>
    <w:rsid w:val="004B40BB"/>
    <w:rsid w:val="004B411A"/>
    <w:rsid w:val="004B4EB8"/>
    <w:rsid w:val="004B72C5"/>
    <w:rsid w:val="004B74C5"/>
    <w:rsid w:val="004B7513"/>
    <w:rsid w:val="004C01C8"/>
    <w:rsid w:val="004C1928"/>
    <w:rsid w:val="004C38D1"/>
    <w:rsid w:val="004C640D"/>
    <w:rsid w:val="004C7838"/>
    <w:rsid w:val="004D1381"/>
    <w:rsid w:val="004D3B6B"/>
    <w:rsid w:val="004D40CD"/>
    <w:rsid w:val="004D4CBB"/>
    <w:rsid w:val="004D5ADC"/>
    <w:rsid w:val="004D6111"/>
    <w:rsid w:val="004D6D76"/>
    <w:rsid w:val="004D749F"/>
    <w:rsid w:val="004E0EA6"/>
    <w:rsid w:val="004E20CC"/>
    <w:rsid w:val="004E2DD7"/>
    <w:rsid w:val="004E593E"/>
    <w:rsid w:val="004E59A5"/>
    <w:rsid w:val="004E5E98"/>
    <w:rsid w:val="004F3556"/>
    <w:rsid w:val="004F56D8"/>
    <w:rsid w:val="004F6ACA"/>
    <w:rsid w:val="00501524"/>
    <w:rsid w:val="00502528"/>
    <w:rsid w:val="00505AD5"/>
    <w:rsid w:val="00506785"/>
    <w:rsid w:val="00507778"/>
    <w:rsid w:val="00510304"/>
    <w:rsid w:val="00513024"/>
    <w:rsid w:val="00513263"/>
    <w:rsid w:val="005142A8"/>
    <w:rsid w:val="00514D14"/>
    <w:rsid w:val="0052056E"/>
    <w:rsid w:val="00520ECD"/>
    <w:rsid w:val="00522C08"/>
    <w:rsid w:val="00522F79"/>
    <w:rsid w:val="00523323"/>
    <w:rsid w:val="00524262"/>
    <w:rsid w:val="00526F09"/>
    <w:rsid w:val="0052723D"/>
    <w:rsid w:val="005273F2"/>
    <w:rsid w:val="00527A4A"/>
    <w:rsid w:val="00530796"/>
    <w:rsid w:val="005337B6"/>
    <w:rsid w:val="00533CCC"/>
    <w:rsid w:val="00534429"/>
    <w:rsid w:val="0053482F"/>
    <w:rsid w:val="00536D04"/>
    <w:rsid w:val="00536D0D"/>
    <w:rsid w:val="00537897"/>
    <w:rsid w:val="00537B7F"/>
    <w:rsid w:val="00537E6E"/>
    <w:rsid w:val="00541C46"/>
    <w:rsid w:val="005443E1"/>
    <w:rsid w:val="00544B7F"/>
    <w:rsid w:val="00545628"/>
    <w:rsid w:val="00547D2F"/>
    <w:rsid w:val="0055017E"/>
    <w:rsid w:val="005507E3"/>
    <w:rsid w:val="005511F4"/>
    <w:rsid w:val="00551261"/>
    <w:rsid w:val="00551D97"/>
    <w:rsid w:val="00553503"/>
    <w:rsid w:val="0055452A"/>
    <w:rsid w:val="00554947"/>
    <w:rsid w:val="00555C8F"/>
    <w:rsid w:val="00557213"/>
    <w:rsid w:val="00561141"/>
    <w:rsid w:val="00561A0F"/>
    <w:rsid w:val="00562887"/>
    <w:rsid w:val="0056343A"/>
    <w:rsid w:val="00563717"/>
    <w:rsid w:val="005668F9"/>
    <w:rsid w:val="0056699C"/>
    <w:rsid w:val="00566A2A"/>
    <w:rsid w:val="00570B77"/>
    <w:rsid w:val="0057174F"/>
    <w:rsid w:val="00572FD7"/>
    <w:rsid w:val="00574659"/>
    <w:rsid w:val="005752CE"/>
    <w:rsid w:val="00575934"/>
    <w:rsid w:val="00575FF8"/>
    <w:rsid w:val="00577644"/>
    <w:rsid w:val="00581313"/>
    <w:rsid w:val="00581492"/>
    <w:rsid w:val="00582D71"/>
    <w:rsid w:val="00582DDF"/>
    <w:rsid w:val="00582FD2"/>
    <w:rsid w:val="00583A84"/>
    <w:rsid w:val="00583E13"/>
    <w:rsid w:val="00584197"/>
    <w:rsid w:val="005850FD"/>
    <w:rsid w:val="00587B82"/>
    <w:rsid w:val="00590164"/>
    <w:rsid w:val="00590755"/>
    <w:rsid w:val="0059090F"/>
    <w:rsid w:val="00594250"/>
    <w:rsid w:val="0059461B"/>
    <w:rsid w:val="00594C60"/>
    <w:rsid w:val="00594D60"/>
    <w:rsid w:val="0059608F"/>
    <w:rsid w:val="00596EA4"/>
    <w:rsid w:val="005974B8"/>
    <w:rsid w:val="005A0189"/>
    <w:rsid w:val="005A2581"/>
    <w:rsid w:val="005A3690"/>
    <w:rsid w:val="005A3755"/>
    <w:rsid w:val="005A39C9"/>
    <w:rsid w:val="005A4601"/>
    <w:rsid w:val="005A4826"/>
    <w:rsid w:val="005A507B"/>
    <w:rsid w:val="005A548F"/>
    <w:rsid w:val="005B18F9"/>
    <w:rsid w:val="005B2CE4"/>
    <w:rsid w:val="005B340C"/>
    <w:rsid w:val="005B3B22"/>
    <w:rsid w:val="005B3FF1"/>
    <w:rsid w:val="005B48EA"/>
    <w:rsid w:val="005B547C"/>
    <w:rsid w:val="005B5B99"/>
    <w:rsid w:val="005B6D92"/>
    <w:rsid w:val="005B7C75"/>
    <w:rsid w:val="005C1EC8"/>
    <w:rsid w:val="005C2342"/>
    <w:rsid w:val="005C2FCE"/>
    <w:rsid w:val="005C320C"/>
    <w:rsid w:val="005C3B54"/>
    <w:rsid w:val="005C3B99"/>
    <w:rsid w:val="005C4C2D"/>
    <w:rsid w:val="005C6FC8"/>
    <w:rsid w:val="005D0DC1"/>
    <w:rsid w:val="005D2DB1"/>
    <w:rsid w:val="005D3D8B"/>
    <w:rsid w:val="005D7A32"/>
    <w:rsid w:val="005E18EA"/>
    <w:rsid w:val="005E1CF0"/>
    <w:rsid w:val="005E68EE"/>
    <w:rsid w:val="005E6AC0"/>
    <w:rsid w:val="005E6F8D"/>
    <w:rsid w:val="005E7375"/>
    <w:rsid w:val="005E7CC4"/>
    <w:rsid w:val="005E7DFA"/>
    <w:rsid w:val="005E7E6F"/>
    <w:rsid w:val="005F54E1"/>
    <w:rsid w:val="005F6095"/>
    <w:rsid w:val="00600F6D"/>
    <w:rsid w:val="00601520"/>
    <w:rsid w:val="006028D2"/>
    <w:rsid w:val="00602C7C"/>
    <w:rsid w:val="00602E5D"/>
    <w:rsid w:val="0060363C"/>
    <w:rsid w:val="0060506F"/>
    <w:rsid w:val="006056E5"/>
    <w:rsid w:val="006108B3"/>
    <w:rsid w:val="006120ED"/>
    <w:rsid w:val="00612B0E"/>
    <w:rsid w:val="006153E5"/>
    <w:rsid w:val="00621A44"/>
    <w:rsid w:val="00621CF6"/>
    <w:rsid w:val="0062473D"/>
    <w:rsid w:val="006257E3"/>
    <w:rsid w:val="00626FD2"/>
    <w:rsid w:val="006302C1"/>
    <w:rsid w:val="00630370"/>
    <w:rsid w:val="00630E13"/>
    <w:rsid w:val="00631531"/>
    <w:rsid w:val="00631ADA"/>
    <w:rsid w:val="00632191"/>
    <w:rsid w:val="00637EF3"/>
    <w:rsid w:val="00640B5F"/>
    <w:rsid w:val="00641EE8"/>
    <w:rsid w:val="006420C4"/>
    <w:rsid w:val="006422F8"/>
    <w:rsid w:val="00642F89"/>
    <w:rsid w:val="00643352"/>
    <w:rsid w:val="0064371D"/>
    <w:rsid w:val="00644AA0"/>
    <w:rsid w:val="006451A0"/>
    <w:rsid w:val="00646311"/>
    <w:rsid w:val="006464C7"/>
    <w:rsid w:val="00647EFB"/>
    <w:rsid w:val="00652D75"/>
    <w:rsid w:val="00652D8B"/>
    <w:rsid w:val="00653297"/>
    <w:rsid w:val="00653CB5"/>
    <w:rsid w:val="00653F59"/>
    <w:rsid w:val="00654031"/>
    <w:rsid w:val="00657289"/>
    <w:rsid w:val="006575A9"/>
    <w:rsid w:val="0066108C"/>
    <w:rsid w:val="0066176F"/>
    <w:rsid w:val="00661B58"/>
    <w:rsid w:val="00663122"/>
    <w:rsid w:val="0066324A"/>
    <w:rsid w:val="006633F2"/>
    <w:rsid w:val="00664ED5"/>
    <w:rsid w:val="0066735C"/>
    <w:rsid w:val="00667ECC"/>
    <w:rsid w:val="006704D0"/>
    <w:rsid w:val="006707C0"/>
    <w:rsid w:val="00673767"/>
    <w:rsid w:val="00674698"/>
    <w:rsid w:val="0067566B"/>
    <w:rsid w:val="00675B22"/>
    <w:rsid w:val="00676B69"/>
    <w:rsid w:val="00677CB5"/>
    <w:rsid w:val="00683183"/>
    <w:rsid w:val="006831F6"/>
    <w:rsid w:val="00684DA3"/>
    <w:rsid w:val="0068527C"/>
    <w:rsid w:val="006853DD"/>
    <w:rsid w:val="00686551"/>
    <w:rsid w:val="00687883"/>
    <w:rsid w:val="00687E9A"/>
    <w:rsid w:val="00690102"/>
    <w:rsid w:val="00691F8C"/>
    <w:rsid w:val="00692867"/>
    <w:rsid w:val="00692D11"/>
    <w:rsid w:val="0069519C"/>
    <w:rsid w:val="00695538"/>
    <w:rsid w:val="00695704"/>
    <w:rsid w:val="006A3B55"/>
    <w:rsid w:val="006A3CEE"/>
    <w:rsid w:val="006A619F"/>
    <w:rsid w:val="006A64A6"/>
    <w:rsid w:val="006B1043"/>
    <w:rsid w:val="006B10E7"/>
    <w:rsid w:val="006B1685"/>
    <w:rsid w:val="006B191B"/>
    <w:rsid w:val="006B1D5E"/>
    <w:rsid w:val="006B36B6"/>
    <w:rsid w:val="006B4F5B"/>
    <w:rsid w:val="006B523F"/>
    <w:rsid w:val="006C33B1"/>
    <w:rsid w:val="006C4536"/>
    <w:rsid w:val="006C4606"/>
    <w:rsid w:val="006C536D"/>
    <w:rsid w:val="006D08D3"/>
    <w:rsid w:val="006D2A90"/>
    <w:rsid w:val="006D47C0"/>
    <w:rsid w:val="006D571E"/>
    <w:rsid w:val="006D69C4"/>
    <w:rsid w:val="006D6AE6"/>
    <w:rsid w:val="006D764B"/>
    <w:rsid w:val="006E0499"/>
    <w:rsid w:val="006E0CB1"/>
    <w:rsid w:val="006E1586"/>
    <w:rsid w:val="006E1E3D"/>
    <w:rsid w:val="006E1ECC"/>
    <w:rsid w:val="006E2822"/>
    <w:rsid w:val="006E2AB3"/>
    <w:rsid w:val="006E4563"/>
    <w:rsid w:val="006E5679"/>
    <w:rsid w:val="006E6C4B"/>
    <w:rsid w:val="006E7445"/>
    <w:rsid w:val="006F1956"/>
    <w:rsid w:val="006F499A"/>
    <w:rsid w:val="006F56D4"/>
    <w:rsid w:val="006F5B3E"/>
    <w:rsid w:val="006F6B5C"/>
    <w:rsid w:val="00701669"/>
    <w:rsid w:val="007031EE"/>
    <w:rsid w:val="00704699"/>
    <w:rsid w:val="007065F2"/>
    <w:rsid w:val="00707A8D"/>
    <w:rsid w:val="00711A4F"/>
    <w:rsid w:val="00711D32"/>
    <w:rsid w:val="00711EBA"/>
    <w:rsid w:val="00712F3D"/>
    <w:rsid w:val="00714125"/>
    <w:rsid w:val="00716ED2"/>
    <w:rsid w:val="0072000F"/>
    <w:rsid w:val="00720A04"/>
    <w:rsid w:val="00720A05"/>
    <w:rsid w:val="00720AA5"/>
    <w:rsid w:val="00720FE6"/>
    <w:rsid w:val="007214C9"/>
    <w:rsid w:val="007221ED"/>
    <w:rsid w:val="007221FA"/>
    <w:rsid w:val="00722358"/>
    <w:rsid w:val="00722503"/>
    <w:rsid w:val="007230F1"/>
    <w:rsid w:val="007235E1"/>
    <w:rsid w:val="00723B49"/>
    <w:rsid w:val="00723EE3"/>
    <w:rsid w:val="0072447A"/>
    <w:rsid w:val="007263F8"/>
    <w:rsid w:val="007314FE"/>
    <w:rsid w:val="00731E14"/>
    <w:rsid w:val="007320F2"/>
    <w:rsid w:val="00733C13"/>
    <w:rsid w:val="00736EA5"/>
    <w:rsid w:val="00737135"/>
    <w:rsid w:val="00740A6C"/>
    <w:rsid w:val="00740DC7"/>
    <w:rsid w:val="00740EA0"/>
    <w:rsid w:val="00743008"/>
    <w:rsid w:val="007442E0"/>
    <w:rsid w:val="00744367"/>
    <w:rsid w:val="00745744"/>
    <w:rsid w:val="00745D86"/>
    <w:rsid w:val="00747BF6"/>
    <w:rsid w:val="00750656"/>
    <w:rsid w:val="0075402B"/>
    <w:rsid w:val="00755729"/>
    <w:rsid w:val="0075594D"/>
    <w:rsid w:val="00755F6B"/>
    <w:rsid w:val="007563F9"/>
    <w:rsid w:val="00757BB9"/>
    <w:rsid w:val="0076056C"/>
    <w:rsid w:val="00761A66"/>
    <w:rsid w:val="007628ED"/>
    <w:rsid w:val="0076370A"/>
    <w:rsid w:val="00764178"/>
    <w:rsid w:val="007641FC"/>
    <w:rsid w:val="007658D3"/>
    <w:rsid w:val="00767B0C"/>
    <w:rsid w:val="00767BD1"/>
    <w:rsid w:val="00770000"/>
    <w:rsid w:val="00770582"/>
    <w:rsid w:val="0077168F"/>
    <w:rsid w:val="00772F4A"/>
    <w:rsid w:val="0077324F"/>
    <w:rsid w:val="0077508E"/>
    <w:rsid w:val="007755C9"/>
    <w:rsid w:val="0077603F"/>
    <w:rsid w:val="007815D6"/>
    <w:rsid w:val="0078191E"/>
    <w:rsid w:val="007829A0"/>
    <w:rsid w:val="00782BF7"/>
    <w:rsid w:val="00783DD9"/>
    <w:rsid w:val="00785957"/>
    <w:rsid w:val="00785E74"/>
    <w:rsid w:val="00785ED7"/>
    <w:rsid w:val="00786A25"/>
    <w:rsid w:val="00790B01"/>
    <w:rsid w:val="00791BFE"/>
    <w:rsid w:val="007923E3"/>
    <w:rsid w:val="00792FF0"/>
    <w:rsid w:val="00794356"/>
    <w:rsid w:val="007A041C"/>
    <w:rsid w:val="007A0B75"/>
    <w:rsid w:val="007B02C7"/>
    <w:rsid w:val="007B0919"/>
    <w:rsid w:val="007B1067"/>
    <w:rsid w:val="007B2384"/>
    <w:rsid w:val="007B34F7"/>
    <w:rsid w:val="007B3FA3"/>
    <w:rsid w:val="007C022C"/>
    <w:rsid w:val="007C02B9"/>
    <w:rsid w:val="007C084F"/>
    <w:rsid w:val="007C141E"/>
    <w:rsid w:val="007C2FB3"/>
    <w:rsid w:val="007C305A"/>
    <w:rsid w:val="007C41CC"/>
    <w:rsid w:val="007C69B9"/>
    <w:rsid w:val="007D09FF"/>
    <w:rsid w:val="007D0A92"/>
    <w:rsid w:val="007D0CD0"/>
    <w:rsid w:val="007D2263"/>
    <w:rsid w:val="007D442B"/>
    <w:rsid w:val="007D5841"/>
    <w:rsid w:val="007D5F11"/>
    <w:rsid w:val="007D7632"/>
    <w:rsid w:val="007E1420"/>
    <w:rsid w:val="007E2B08"/>
    <w:rsid w:val="007E3513"/>
    <w:rsid w:val="007E3D57"/>
    <w:rsid w:val="007E4CC4"/>
    <w:rsid w:val="007E5AD3"/>
    <w:rsid w:val="007E64AF"/>
    <w:rsid w:val="007E71EE"/>
    <w:rsid w:val="007F0825"/>
    <w:rsid w:val="007F0FF0"/>
    <w:rsid w:val="007F1BE4"/>
    <w:rsid w:val="007F4784"/>
    <w:rsid w:val="007F4BA9"/>
    <w:rsid w:val="007F6E9E"/>
    <w:rsid w:val="008003EE"/>
    <w:rsid w:val="00801153"/>
    <w:rsid w:val="00802AEB"/>
    <w:rsid w:val="00802F2C"/>
    <w:rsid w:val="00804FEE"/>
    <w:rsid w:val="008050A5"/>
    <w:rsid w:val="008060DC"/>
    <w:rsid w:val="00806310"/>
    <w:rsid w:val="00810186"/>
    <w:rsid w:val="00810D7F"/>
    <w:rsid w:val="00810DF3"/>
    <w:rsid w:val="008139D6"/>
    <w:rsid w:val="0081443C"/>
    <w:rsid w:val="00814691"/>
    <w:rsid w:val="00815FC3"/>
    <w:rsid w:val="0081717E"/>
    <w:rsid w:val="0081722B"/>
    <w:rsid w:val="00820725"/>
    <w:rsid w:val="0082511F"/>
    <w:rsid w:val="00825962"/>
    <w:rsid w:val="00826997"/>
    <w:rsid w:val="00826CDA"/>
    <w:rsid w:val="00831C43"/>
    <w:rsid w:val="00834306"/>
    <w:rsid w:val="0083470F"/>
    <w:rsid w:val="00835940"/>
    <w:rsid w:val="00837C65"/>
    <w:rsid w:val="00837E3F"/>
    <w:rsid w:val="0084157A"/>
    <w:rsid w:val="008426FF"/>
    <w:rsid w:val="008429EF"/>
    <w:rsid w:val="00845AB5"/>
    <w:rsid w:val="00845DD1"/>
    <w:rsid w:val="00846059"/>
    <w:rsid w:val="00847FE5"/>
    <w:rsid w:val="00850D7C"/>
    <w:rsid w:val="008516D2"/>
    <w:rsid w:val="00851A2C"/>
    <w:rsid w:val="00852CDD"/>
    <w:rsid w:val="00852EFB"/>
    <w:rsid w:val="00852F08"/>
    <w:rsid w:val="0085322E"/>
    <w:rsid w:val="008561EA"/>
    <w:rsid w:val="00856C5E"/>
    <w:rsid w:val="00857BEE"/>
    <w:rsid w:val="00857F76"/>
    <w:rsid w:val="0086040E"/>
    <w:rsid w:val="008607D8"/>
    <w:rsid w:val="008613DA"/>
    <w:rsid w:val="0086177A"/>
    <w:rsid w:val="00861DCD"/>
    <w:rsid w:val="00863763"/>
    <w:rsid w:val="00864077"/>
    <w:rsid w:val="00864E14"/>
    <w:rsid w:val="008661AF"/>
    <w:rsid w:val="00866410"/>
    <w:rsid w:val="00867975"/>
    <w:rsid w:val="00871F9A"/>
    <w:rsid w:val="008758DE"/>
    <w:rsid w:val="008763DB"/>
    <w:rsid w:val="00876F77"/>
    <w:rsid w:val="00881864"/>
    <w:rsid w:val="00884CC7"/>
    <w:rsid w:val="0088526C"/>
    <w:rsid w:val="00887678"/>
    <w:rsid w:val="0089095E"/>
    <w:rsid w:val="008917A2"/>
    <w:rsid w:val="00892EFD"/>
    <w:rsid w:val="00893422"/>
    <w:rsid w:val="0089353B"/>
    <w:rsid w:val="00893F31"/>
    <w:rsid w:val="00894A15"/>
    <w:rsid w:val="00895AA3"/>
    <w:rsid w:val="008976E4"/>
    <w:rsid w:val="008A0EF7"/>
    <w:rsid w:val="008A146D"/>
    <w:rsid w:val="008A6761"/>
    <w:rsid w:val="008A7AFA"/>
    <w:rsid w:val="008B0453"/>
    <w:rsid w:val="008B04EC"/>
    <w:rsid w:val="008B1693"/>
    <w:rsid w:val="008B1E64"/>
    <w:rsid w:val="008B362C"/>
    <w:rsid w:val="008B3899"/>
    <w:rsid w:val="008B577C"/>
    <w:rsid w:val="008B7C79"/>
    <w:rsid w:val="008C033D"/>
    <w:rsid w:val="008C44B0"/>
    <w:rsid w:val="008C4B72"/>
    <w:rsid w:val="008C6873"/>
    <w:rsid w:val="008C691D"/>
    <w:rsid w:val="008C6C73"/>
    <w:rsid w:val="008D05AB"/>
    <w:rsid w:val="008D2255"/>
    <w:rsid w:val="008D344C"/>
    <w:rsid w:val="008D3725"/>
    <w:rsid w:val="008D3C98"/>
    <w:rsid w:val="008D5076"/>
    <w:rsid w:val="008D767F"/>
    <w:rsid w:val="008E0B9D"/>
    <w:rsid w:val="008E1C45"/>
    <w:rsid w:val="008E74DA"/>
    <w:rsid w:val="008F027A"/>
    <w:rsid w:val="008F0349"/>
    <w:rsid w:val="008F3532"/>
    <w:rsid w:val="008F3AE0"/>
    <w:rsid w:val="008F5C88"/>
    <w:rsid w:val="008F77FD"/>
    <w:rsid w:val="00902289"/>
    <w:rsid w:val="009031FE"/>
    <w:rsid w:val="009040F6"/>
    <w:rsid w:val="00906EB8"/>
    <w:rsid w:val="009102EE"/>
    <w:rsid w:val="00910956"/>
    <w:rsid w:val="009122B0"/>
    <w:rsid w:val="00912712"/>
    <w:rsid w:val="009132E6"/>
    <w:rsid w:val="00915D51"/>
    <w:rsid w:val="00916D79"/>
    <w:rsid w:val="00921378"/>
    <w:rsid w:val="00921679"/>
    <w:rsid w:val="00921C33"/>
    <w:rsid w:val="00921CDC"/>
    <w:rsid w:val="009234B0"/>
    <w:rsid w:val="00924850"/>
    <w:rsid w:val="009249FF"/>
    <w:rsid w:val="00926BED"/>
    <w:rsid w:val="0092724E"/>
    <w:rsid w:val="00931126"/>
    <w:rsid w:val="009323E8"/>
    <w:rsid w:val="00935BD1"/>
    <w:rsid w:val="009377FB"/>
    <w:rsid w:val="00937C43"/>
    <w:rsid w:val="00942738"/>
    <w:rsid w:val="00942AF0"/>
    <w:rsid w:val="00942F75"/>
    <w:rsid w:val="009437C7"/>
    <w:rsid w:val="0094597F"/>
    <w:rsid w:val="00946792"/>
    <w:rsid w:val="00947642"/>
    <w:rsid w:val="009509F7"/>
    <w:rsid w:val="00952BB1"/>
    <w:rsid w:val="00954425"/>
    <w:rsid w:val="0095483F"/>
    <w:rsid w:val="009576BC"/>
    <w:rsid w:val="009604C5"/>
    <w:rsid w:val="00960832"/>
    <w:rsid w:val="00961F89"/>
    <w:rsid w:val="00962E9D"/>
    <w:rsid w:val="00965ED8"/>
    <w:rsid w:val="00967877"/>
    <w:rsid w:val="009719F6"/>
    <w:rsid w:val="009723FF"/>
    <w:rsid w:val="00972977"/>
    <w:rsid w:val="0097297A"/>
    <w:rsid w:val="00974208"/>
    <w:rsid w:val="0097637E"/>
    <w:rsid w:val="009801E4"/>
    <w:rsid w:val="00980865"/>
    <w:rsid w:val="00981B82"/>
    <w:rsid w:val="00982046"/>
    <w:rsid w:val="00982ADB"/>
    <w:rsid w:val="00983318"/>
    <w:rsid w:val="00986167"/>
    <w:rsid w:val="00986F74"/>
    <w:rsid w:val="009929AA"/>
    <w:rsid w:val="00995FD5"/>
    <w:rsid w:val="009975E3"/>
    <w:rsid w:val="009A27A5"/>
    <w:rsid w:val="009A346E"/>
    <w:rsid w:val="009A3DCF"/>
    <w:rsid w:val="009A3EBE"/>
    <w:rsid w:val="009A431C"/>
    <w:rsid w:val="009A7A01"/>
    <w:rsid w:val="009B0AAA"/>
    <w:rsid w:val="009B1F8D"/>
    <w:rsid w:val="009B2B2B"/>
    <w:rsid w:val="009B4BA2"/>
    <w:rsid w:val="009B6F46"/>
    <w:rsid w:val="009B71EE"/>
    <w:rsid w:val="009C04BB"/>
    <w:rsid w:val="009C2B83"/>
    <w:rsid w:val="009C3E12"/>
    <w:rsid w:val="009C3F3D"/>
    <w:rsid w:val="009C4073"/>
    <w:rsid w:val="009C46AC"/>
    <w:rsid w:val="009C52D4"/>
    <w:rsid w:val="009C7AAE"/>
    <w:rsid w:val="009D02F2"/>
    <w:rsid w:val="009D0AFF"/>
    <w:rsid w:val="009D176E"/>
    <w:rsid w:val="009D2E8F"/>
    <w:rsid w:val="009D3A82"/>
    <w:rsid w:val="009D3B8F"/>
    <w:rsid w:val="009D4A2C"/>
    <w:rsid w:val="009D527D"/>
    <w:rsid w:val="009D5321"/>
    <w:rsid w:val="009D6B96"/>
    <w:rsid w:val="009D7D48"/>
    <w:rsid w:val="009E107C"/>
    <w:rsid w:val="009E16C1"/>
    <w:rsid w:val="009E48D4"/>
    <w:rsid w:val="009E4C1F"/>
    <w:rsid w:val="009E4E74"/>
    <w:rsid w:val="009E7ED7"/>
    <w:rsid w:val="009E7F59"/>
    <w:rsid w:val="009F0E95"/>
    <w:rsid w:val="009F1235"/>
    <w:rsid w:val="009F262B"/>
    <w:rsid w:val="009F3463"/>
    <w:rsid w:val="009F3C20"/>
    <w:rsid w:val="009F4162"/>
    <w:rsid w:val="009F4C75"/>
    <w:rsid w:val="009F5FD5"/>
    <w:rsid w:val="009F798B"/>
    <w:rsid w:val="009F7F85"/>
    <w:rsid w:val="00A00462"/>
    <w:rsid w:val="00A00D3E"/>
    <w:rsid w:val="00A01C1A"/>
    <w:rsid w:val="00A01DE9"/>
    <w:rsid w:val="00A02ED5"/>
    <w:rsid w:val="00A03537"/>
    <w:rsid w:val="00A05D54"/>
    <w:rsid w:val="00A05D82"/>
    <w:rsid w:val="00A061E1"/>
    <w:rsid w:val="00A1122E"/>
    <w:rsid w:val="00A12866"/>
    <w:rsid w:val="00A13AFA"/>
    <w:rsid w:val="00A1430C"/>
    <w:rsid w:val="00A14ADF"/>
    <w:rsid w:val="00A14AE6"/>
    <w:rsid w:val="00A150D1"/>
    <w:rsid w:val="00A15210"/>
    <w:rsid w:val="00A1525A"/>
    <w:rsid w:val="00A15371"/>
    <w:rsid w:val="00A15639"/>
    <w:rsid w:val="00A1572C"/>
    <w:rsid w:val="00A16299"/>
    <w:rsid w:val="00A211E7"/>
    <w:rsid w:val="00A2168A"/>
    <w:rsid w:val="00A24A06"/>
    <w:rsid w:val="00A263AF"/>
    <w:rsid w:val="00A27E02"/>
    <w:rsid w:val="00A31C97"/>
    <w:rsid w:val="00A31EC7"/>
    <w:rsid w:val="00A329B1"/>
    <w:rsid w:val="00A34865"/>
    <w:rsid w:val="00A354B7"/>
    <w:rsid w:val="00A36B5E"/>
    <w:rsid w:val="00A37E82"/>
    <w:rsid w:val="00A41A52"/>
    <w:rsid w:val="00A41A84"/>
    <w:rsid w:val="00A4585B"/>
    <w:rsid w:val="00A529E0"/>
    <w:rsid w:val="00A5393D"/>
    <w:rsid w:val="00A545F9"/>
    <w:rsid w:val="00A5533C"/>
    <w:rsid w:val="00A55F45"/>
    <w:rsid w:val="00A57AA0"/>
    <w:rsid w:val="00A60208"/>
    <w:rsid w:val="00A614FE"/>
    <w:rsid w:val="00A61F32"/>
    <w:rsid w:val="00A62084"/>
    <w:rsid w:val="00A62362"/>
    <w:rsid w:val="00A62485"/>
    <w:rsid w:val="00A62D36"/>
    <w:rsid w:val="00A64493"/>
    <w:rsid w:val="00A657B3"/>
    <w:rsid w:val="00A65D9E"/>
    <w:rsid w:val="00A66323"/>
    <w:rsid w:val="00A66559"/>
    <w:rsid w:val="00A666E5"/>
    <w:rsid w:val="00A66D79"/>
    <w:rsid w:val="00A7081D"/>
    <w:rsid w:val="00A71D13"/>
    <w:rsid w:val="00A721A3"/>
    <w:rsid w:val="00A721E5"/>
    <w:rsid w:val="00A7438D"/>
    <w:rsid w:val="00A76783"/>
    <w:rsid w:val="00A769CF"/>
    <w:rsid w:val="00A80C63"/>
    <w:rsid w:val="00A81F59"/>
    <w:rsid w:val="00A834E9"/>
    <w:rsid w:val="00A85D85"/>
    <w:rsid w:val="00A86909"/>
    <w:rsid w:val="00A86D25"/>
    <w:rsid w:val="00A91525"/>
    <w:rsid w:val="00A92176"/>
    <w:rsid w:val="00A96487"/>
    <w:rsid w:val="00A96D6E"/>
    <w:rsid w:val="00AA1A1F"/>
    <w:rsid w:val="00AA4F7C"/>
    <w:rsid w:val="00AA53CC"/>
    <w:rsid w:val="00AA5BC2"/>
    <w:rsid w:val="00AA7C0D"/>
    <w:rsid w:val="00AB0508"/>
    <w:rsid w:val="00AB0858"/>
    <w:rsid w:val="00AB24B6"/>
    <w:rsid w:val="00AB2A8A"/>
    <w:rsid w:val="00AB3510"/>
    <w:rsid w:val="00AB48B6"/>
    <w:rsid w:val="00AB5150"/>
    <w:rsid w:val="00AB635B"/>
    <w:rsid w:val="00AB7C68"/>
    <w:rsid w:val="00AC26A5"/>
    <w:rsid w:val="00AC3EF4"/>
    <w:rsid w:val="00AC438E"/>
    <w:rsid w:val="00AC4651"/>
    <w:rsid w:val="00AC68D3"/>
    <w:rsid w:val="00AC7561"/>
    <w:rsid w:val="00AD0440"/>
    <w:rsid w:val="00AD1DD7"/>
    <w:rsid w:val="00AD2661"/>
    <w:rsid w:val="00AD26C6"/>
    <w:rsid w:val="00AD2D6D"/>
    <w:rsid w:val="00AD3C46"/>
    <w:rsid w:val="00AD53FD"/>
    <w:rsid w:val="00AD56E7"/>
    <w:rsid w:val="00AD5AB6"/>
    <w:rsid w:val="00AD6C09"/>
    <w:rsid w:val="00AD6F95"/>
    <w:rsid w:val="00AD75D4"/>
    <w:rsid w:val="00AD7731"/>
    <w:rsid w:val="00AD7A65"/>
    <w:rsid w:val="00AE233B"/>
    <w:rsid w:val="00AE3F3E"/>
    <w:rsid w:val="00AE4467"/>
    <w:rsid w:val="00AE61B3"/>
    <w:rsid w:val="00AE68BE"/>
    <w:rsid w:val="00AE7402"/>
    <w:rsid w:val="00AE77F5"/>
    <w:rsid w:val="00AF04E7"/>
    <w:rsid w:val="00AF11D6"/>
    <w:rsid w:val="00AF241C"/>
    <w:rsid w:val="00B000CA"/>
    <w:rsid w:val="00B00550"/>
    <w:rsid w:val="00B02AC8"/>
    <w:rsid w:val="00B065DA"/>
    <w:rsid w:val="00B0705D"/>
    <w:rsid w:val="00B0708E"/>
    <w:rsid w:val="00B10250"/>
    <w:rsid w:val="00B10BD6"/>
    <w:rsid w:val="00B111CD"/>
    <w:rsid w:val="00B111FA"/>
    <w:rsid w:val="00B131AC"/>
    <w:rsid w:val="00B222BE"/>
    <w:rsid w:val="00B23727"/>
    <w:rsid w:val="00B27006"/>
    <w:rsid w:val="00B30C1D"/>
    <w:rsid w:val="00B30C39"/>
    <w:rsid w:val="00B33B02"/>
    <w:rsid w:val="00B35B39"/>
    <w:rsid w:val="00B35E89"/>
    <w:rsid w:val="00B36EC4"/>
    <w:rsid w:val="00B36EE1"/>
    <w:rsid w:val="00B3749A"/>
    <w:rsid w:val="00B37C4F"/>
    <w:rsid w:val="00B37E2D"/>
    <w:rsid w:val="00B408C5"/>
    <w:rsid w:val="00B42D71"/>
    <w:rsid w:val="00B43C5F"/>
    <w:rsid w:val="00B43F34"/>
    <w:rsid w:val="00B50492"/>
    <w:rsid w:val="00B51A3C"/>
    <w:rsid w:val="00B51A49"/>
    <w:rsid w:val="00B51D0C"/>
    <w:rsid w:val="00B549E4"/>
    <w:rsid w:val="00B55882"/>
    <w:rsid w:val="00B55A67"/>
    <w:rsid w:val="00B55AAA"/>
    <w:rsid w:val="00B56423"/>
    <w:rsid w:val="00B603D6"/>
    <w:rsid w:val="00B607B2"/>
    <w:rsid w:val="00B60AA1"/>
    <w:rsid w:val="00B60ED6"/>
    <w:rsid w:val="00B6164F"/>
    <w:rsid w:val="00B63D70"/>
    <w:rsid w:val="00B6462D"/>
    <w:rsid w:val="00B647BA"/>
    <w:rsid w:val="00B6520F"/>
    <w:rsid w:val="00B666E1"/>
    <w:rsid w:val="00B70238"/>
    <w:rsid w:val="00B70DC1"/>
    <w:rsid w:val="00B70E32"/>
    <w:rsid w:val="00B71A9D"/>
    <w:rsid w:val="00B7302C"/>
    <w:rsid w:val="00B73C0A"/>
    <w:rsid w:val="00B7412A"/>
    <w:rsid w:val="00B7523A"/>
    <w:rsid w:val="00B75322"/>
    <w:rsid w:val="00B75A67"/>
    <w:rsid w:val="00B77653"/>
    <w:rsid w:val="00B77C67"/>
    <w:rsid w:val="00B77CCE"/>
    <w:rsid w:val="00B80856"/>
    <w:rsid w:val="00B80947"/>
    <w:rsid w:val="00B8155B"/>
    <w:rsid w:val="00B81668"/>
    <w:rsid w:val="00B81C04"/>
    <w:rsid w:val="00B81D2D"/>
    <w:rsid w:val="00B83220"/>
    <w:rsid w:val="00B83A95"/>
    <w:rsid w:val="00B853E8"/>
    <w:rsid w:val="00B86C55"/>
    <w:rsid w:val="00B87C9C"/>
    <w:rsid w:val="00B9066A"/>
    <w:rsid w:val="00B91383"/>
    <w:rsid w:val="00B929AC"/>
    <w:rsid w:val="00B92E15"/>
    <w:rsid w:val="00B92E3A"/>
    <w:rsid w:val="00B966C4"/>
    <w:rsid w:val="00B97BDD"/>
    <w:rsid w:val="00B97D64"/>
    <w:rsid w:val="00BA2B04"/>
    <w:rsid w:val="00BA3094"/>
    <w:rsid w:val="00BA3B72"/>
    <w:rsid w:val="00BA5D8B"/>
    <w:rsid w:val="00BA5F5A"/>
    <w:rsid w:val="00BA66B2"/>
    <w:rsid w:val="00BB0634"/>
    <w:rsid w:val="00BB2982"/>
    <w:rsid w:val="00BB2C35"/>
    <w:rsid w:val="00BB3DFD"/>
    <w:rsid w:val="00BB56EF"/>
    <w:rsid w:val="00BB7C63"/>
    <w:rsid w:val="00BC2185"/>
    <w:rsid w:val="00BC2E39"/>
    <w:rsid w:val="00BC3F14"/>
    <w:rsid w:val="00BC40A2"/>
    <w:rsid w:val="00BC4C97"/>
    <w:rsid w:val="00BC72AC"/>
    <w:rsid w:val="00BC7DFF"/>
    <w:rsid w:val="00BD0E20"/>
    <w:rsid w:val="00BD111D"/>
    <w:rsid w:val="00BD28CE"/>
    <w:rsid w:val="00BD5662"/>
    <w:rsid w:val="00BD5B47"/>
    <w:rsid w:val="00BD5D5D"/>
    <w:rsid w:val="00BD62E3"/>
    <w:rsid w:val="00BD780B"/>
    <w:rsid w:val="00BE0B8D"/>
    <w:rsid w:val="00BE2D4F"/>
    <w:rsid w:val="00BE4B3A"/>
    <w:rsid w:val="00BE61F4"/>
    <w:rsid w:val="00BE70F9"/>
    <w:rsid w:val="00BE79F4"/>
    <w:rsid w:val="00BF1089"/>
    <w:rsid w:val="00BF670E"/>
    <w:rsid w:val="00BF738F"/>
    <w:rsid w:val="00C02C2A"/>
    <w:rsid w:val="00C034A9"/>
    <w:rsid w:val="00C03757"/>
    <w:rsid w:val="00C07DF0"/>
    <w:rsid w:val="00C1005C"/>
    <w:rsid w:val="00C106A0"/>
    <w:rsid w:val="00C10D57"/>
    <w:rsid w:val="00C116E2"/>
    <w:rsid w:val="00C122D4"/>
    <w:rsid w:val="00C14DCE"/>
    <w:rsid w:val="00C1683F"/>
    <w:rsid w:val="00C16E22"/>
    <w:rsid w:val="00C17506"/>
    <w:rsid w:val="00C17CD3"/>
    <w:rsid w:val="00C22F57"/>
    <w:rsid w:val="00C23460"/>
    <w:rsid w:val="00C23B5E"/>
    <w:rsid w:val="00C2429A"/>
    <w:rsid w:val="00C2481E"/>
    <w:rsid w:val="00C2496C"/>
    <w:rsid w:val="00C25C73"/>
    <w:rsid w:val="00C26145"/>
    <w:rsid w:val="00C264F7"/>
    <w:rsid w:val="00C26D96"/>
    <w:rsid w:val="00C320DA"/>
    <w:rsid w:val="00C32730"/>
    <w:rsid w:val="00C32902"/>
    <w:rsid w:val="00C332AC"/>
    <w:rsid w:val="00C37BE7"/>
    <w:rsid w:val="00C41475"/>
    <w:rsid w:val="00C42507"/>
    <w:rsid w:val="00C4349C"/>
    <w:rsid w:val="00C436AC"/>
    <w:rsid w:val="00C44E19"/>
    <w:rsid w:val="00C45772"/>
    <w:rsid w:val="00C466D1"/>
    <w:rsid w:val="00C46EBB"/>
    <w:rsid w:val="00C4777B"/>
    <w:rsid w:val="00C477EC"/>
    <w:rsid w:val="00C5491F"/>
    <w:rsid w:val="00C55F1F"/>
    <w:rsid w:val="00C55FD3"/>
    <w:rsid w:val="00C577FE"/>
    <w:rsid w:val="00C60148"/>
    <w:rsid w:val="00C62566"/>
    <w:rsid w:val="00C64166"/>
    <w:rsid w:val="00C65CF0"/>
    <w:rsid w:val="00C66D18"/>
    <w:rsid w:val="00C67107"/>
    <w:rsid w:val="00C675FB"/>
    <w:rsid w:val="00C67694"/>
    <w:rsid w:val="00C67995"/>
    <w:rsid w:val="00C7150F"/>
    <w:rsid w:val="00C717B1"/>
    <w:rsid w:val="00C72F17"/>
    <w:rsid w:val="00C742BA"/>
    <w:rsid w:val="00C74F02"/>
    <w:rsid w:val="00C76671"/>
    <w:rsid w:val="00C76C70"/>
    <w:rsid w:val="00C77D3C"/>
    <w:rsid w:val="00C808F4"/>
    <w:rsid w:val="00C827BD"/>
    <w:rsid w:val="00C84B67"/>
    <w:rsid w:val="00C868D0"/>
    <w:rsid w:val="00C925DB"/>
    <w:rsid w:val="00C952CA"/>
    <w:rsid w:val="00C97D65"/>
    <w:rsid w:val="00CA0954"/>
    <w:rsid w:val="00CA16FC"/>
    <w:rsid w:val="00CA2006"/>
    <w:rsid w:val="00CA2232"/>
    <w:rsid w:val="00CA252C"/>
    <w:rsid w:val="00CB0458"/>
    <w:rsid w:val="00CB19A6"/>
    <w:rsid w:val="00CB32DF"/>
    <w:rsid w:val="00CB3A44"/>
    <w:rsid w:val="00CB3C73"/>
    <w:rsid w:val="00CB63DE"/>
    <w:rsid w:val="00CB7704"/>
    <w:rsid w:val="00CB7A9D"/>
    <w:rsid w:val="00CB7B94"/>
    <w:rsid w:val="00CC077F"/>
    <w:rsid w:val="00CC294D"/>
    <w:rsid w:val="00CC3FDD"/>
    <w:rsid w:val="00CC41EF"/>
    <w:rsid w:val="00CC5E15"/>
    <w:rsid w:val="00CC5F28"/>
    <w:rsid w:val="00CC73F5"/>
    <w:rsid w:val="00CD197B"/>
    <w:rsid w:val="00CD397A"/>
    <w:rsid w:val="00CD3EEC"/>
    <w:rsid w:val="00CD5388"/>
    <w:rsid w:val="00CD6597"/>
    <w:rsid w:val="00CD6E99"/>
    <w:rsid w:val="00CE24EA"/>
    <w:rsid w:val="00CE3972"/>
    <w:rsid w:val="00CE3CEA"/>
    <w:rsid w:val="00CE462B"/>
    <w:rsid w:val="00CE54DC"/>
    <w:rsid w:val="00CE5918"/>
    <w:rsid w:val="00CE5E33"/>
    <w:rsid w:val="00CE65A2"/>
    <w:rsid w:val="00CE7B4D"/>
    <w:rsid w:val="00CF1276"/>
    <w:rsid w:val="00CF3217"/>
    <w:rsid w:val="00CF4CD2"/>
    <w:rsid w:val="00CF5EA6"/>
    <w:rsid w:val="00CF6F9D"/>
    <w:rsid w:val="00CF7036"/>
    <w:rsid w:val="00CF7523"/>
    <w:rsid w:val="00D00354"/>
    <w:rsid w:val="00D00B17"/>
    <w:rsid w:val="00D035D1"/>
    <w:rsid w:val="00D04431"/>
    <w:rsid w:val="00D04B98"/>
    <w:rsid w:val="00D04D29"/>
    <w:rsid w:val="00D10A61"/>
    <w:rsid w:val="00D10DB8"/>
    <w:rsid w:val="00D119CB"/>
    <w:rsid w:val="00D12DDB"/>
    <w:rsid w:val="00D135EC"/>
    <w:rsid w:val="00D13DA1"/>
    <w:rsid w:val="00D144AA"/>
    <w:rsid w:val="00D15D56"/>
    <w:rsid w:val="00D17729"/>
    <w:rsid w:val="00D20A1A"/>
    <w:rsid w:val="00D21EC0"/>
    <w:rsid w:val="00D23B25"/>
    <w:rsid w:val="00D25298"/>
    <w:rsid w:val="00D261AF"/>
    <w:rsid w:val="00D2644B"/>
    <w:rsid w:val="00D26E3C"/>
    <w:rsid w:val="00D3057D"/>
    <w:rsid w:val="00D30B74"/>
    <w:rsid w:val="00D315BE"/>
    <w:rsid w:val="00D31EBD"/>
    <w:rsid w:val="00D33BDB"/>
    <w:rsid w:val="00D3407E"/>
    <w:rsid w:val="00D34390"/>
    <w:rsid w:val="00D34498"/>
    <w:rsid w:val="00D34E27"/>
    <w:rsid w:val="00D3509E"/>
    <w:rsid w:val="00D355D5"/>
    <w:rsid w:val="00D37C66"/>
    <w:rsid w:val="00D37FEC"/>
    <w:rsid w:val="00D407AA"/>
    <w:rsid w:val="00D42230"/>
    <w:rsid w:val="00D42A64"/>
    <w:rsid w:val="00D42C1D"/>
    <w:rsid w:val="00D4334A"/>
    <w:rsid w:val="00D43B1C"/>
    <w:rsid w:val="00D446F4"/>
    <w:rsid w:val="00D4502E"/>
    <w:rsid w:val="00D4570F"/>
    <w:rsid w:val="00D46645"/>
    <w:rsid w:val="00D46A15"/>
    <w:rsid w:val="00D47D6D"/>
    <w:rsid w:val="00D503A3"/>
    <w:rsid w:val="00D51C76"/>
    <w:rsid w:val="00D537CB"/>
    <w:rsid w:val="00D54420"/>
    <w:rsid w:val="00D54458"/>
    <w:rsid w:val="00D54D0E"/>
    <w:rsid w:val="00D54D40"/>
    <w:rsid w:val="00D5542E"/>
    <w:rsid w:val="00D55F38"/>
    <w:rsid w:val="00D61202"/>
    <w:rsid w:val="00D626C6"/>
    <w:rsid w:val="00D65893"/>
    <w:rsid w:val="00D665D8"/>
    <w:rsid w:val="00D676A7"/>
    <w:rsid w:val="00D67E71"/>
    <w:rsid w:val="00D70BF0"/>
    <w:rsid w:val="00D70DE9"/>
    <w:rsid w:val="00D72AF8"/>
    <w:rsid w:val="00D73099"/>
    <w:rsid w:val="00D73DCB"/>
    <w:rsid w:val="00D74163"/>
    <w:rsid w:val="00D7491A"/>
    <w:rsid w:val="00D75067"/>
    <w:rsid w:val="00D75984"/>
    <w:rsid w:val="00D76F25"/>
    <w:rsid w:val="00D80FF6"/>
    <w:rsid w:val="00D82170"/>
    <w:rsid w:val="00D830A4"/>
    <w:rsid w:val="00D85E2D"/>
    <w:rsid w:val="00D85EAE"/>
    <w:rsid w:val="00D90E53"/>
    <w:rsid w:val="00D91395"/>
    <w:rsid w:val="00D92558"/>
    <w:rsid w:val="00D93615"/>
    <w:rsid w:val="00D936CD"/>
    <w:rsid w:val="00D94EA0"/>
    <w:rsid w:val="00D950B5"/>
    <w:rsid w:val="00D968B7"/>
    <w:rsid w:val="00D9707E"/>
    <w:rsid w:val="00D972C9"/>
    <w:rsid w:val="00D9756E"/>
    <w:rsid w:val="00DA0077"/>
    <w:rsid w:val="00DA2457"/>
    <w:rsid w:val="00DA2B1B"/>
    <w:rsid w:val="00DA3F98"/>
    <w:rsid w:val="00DA602C"/>
    <w:rsid w:val="00DA6E45"/>
    <w:rsid w:val="00DA7AE5"/>
    <w:rsid w:val="00DB09F2"/>
    <w:rsid w:val="00DB219D"/>
    <w:rsid w:val="00DB2CCF"/>
    <w:rsid w:val="00DB3ACF"/>
    <w:rsid w:val="00DB4906"/>
    <w:rsid w:val="00DB4FAA"/>
    <w:rsid w:val="00DB6ABF"/>
    <w:rsid w:val="00DB7790"/>
    <w:rsid w:val="00DB7810"/>
    <w:rsid w:val="00DB7B48"/>
    <w:rsid w:val="00DC0356"/>
    <w:rsid w:val="00DC2878"/>
    <w:rsid w:val="00DC323F"/>
    <w:rsid w:val="00DC4A8F"/>
    <w:rsid w:val="00DC6583"/>
    <w:rsid w:val="00DC6AA4"/>
    <w:rsid w:val="00DC6EF2"/>
    <w:rsid w:val="00DC7B41"/>
    <w:rsid w:val="00DD1D7B"/>
    <w:rsid w:val="00DD4D90"/>
    <w:rsid w:val="00DD53EE"/>
    <w:rsid w:val="00DD60D5"/>
    <w:rsid w:val="00DD6106"/>
    <w:rsid w:val="00DD66A1"/>
    <w:rsid w:val="00DD7AF6"/>
    <w:rsid w:val="00DE0183"/>
    <w:rsid w:val="00DE0DCF"/>
    <w:rsid w:val="00DE26C3"/>
    <w:rsid w:val="00DE45CF"/>
    <w:rsid w:val="00DE6443"/>
    <w:rsid w:val="00DF2DF9"/>
    <w:rsid w:val="00DF507E"/>
    <w:rsid w:val="00DF7561"/>
    <w:rsid w:val="00DF7EED"/>
    <w:rsid w:val="00E00106"/>
    <w:rsid w:val="00E01656"/>
    <w:rsid w:val="00E017B4"/>
    <w:rsid w:val="00E01CA2"/>
    <w:rsid w:val="00E04CCA"/>
    <w:rsid w:val="00E052C6"/>
    <w:rsid w:val="00E054DD"/>
    <w:rsid w:val="00E06BCD"/>
    <w:rsid w:val="00E071BE"/>
    <w:rsid w:val="00E101E3"/>
    <w:rsid w:val="00E12C21"/>
    <w:rsid w:val="00E15353"/>
    <w:rsid w:val="00E153E8"/>
    <w:rsid w:val="00E154E3"/>
    <w:rsid w:val="00E164F9"/>
    <w:rsid w:val="00E17EB4"/>
    <w:rsid w:val="00E2200A"/>
    <w:rsid w:val="00E25F41"/>
    <w:rsid w:val="00E269A5"/>
    <w:rsid w:val="00E27082"/>
    <w:rsid w:val="00E2714B"/>
    <w:rsid w:val="00E2754D"/>
    <w:rsid w:val="00E275D0"/>
    <w:rsid w:val="00E31829"/>
    <w:rsid w:val="00E342DE"/>
    <w:rsid w:val="00E345F4"/>
    <w:rsid w:val="00E3569D"/>
    <w:rsid w:val="00E3597B"/>
    <w:rsid w:val="00E359FB"/>
    <w:rsid w:val="00E36F91"/>
    <w:rsid w:val="00E42FC9"/>
    <w:rsid w:val="00E4593A"/>
    <w:rsid w:val="00E45FD9"/>
    <w:rsid w:val="00E46E3C"/>
    <w:rsid w:val="00E50B24"/>
    <w:rsid w:val="00E52615"/>
    <w:rsid w:val="00E55D00"/>
    <w:rsid w:val="00E55F34"/>
    <w:rsid w:val="00E56325"/>
    <w:rsid w:val="00E56441"/>
    <w:rsid w:val="00E56557"/>
    <w:rsid w:val="00E569B4"/>
    <w:rsid w:val="00E57CE0"/>
    <w:rsid w:val="00E62C54"/>
    <w:rsid w:val="00E62E93"/>
    <w:rsid w:val="00E630BD"/>
    <w:rsid w:val="00E630DC"/>
    <w:rsid w:val="00E63D42"/>
    <w:rsid w:val="00E6428F"/>
    <w:rsid w:val="00E663F9"/>
    <w:rsid w:val="00E666D1"/>
    <w:rsid w:val="00E66D87"/>
    <w:rsid w:val="00E67243"/>
    <w:rsid w:val="00E6770C"/>
    <w:rsid w:val="00E67A5E"/>
    <w:rsid w:val="00E70783"/>
    <w:rsid w:val="00E71E1A"/>
    <w:rsid w:val="00E72DEE"/>
    <w:rsid w:val="00E744F6"/>
    <w:rsid w:val="00E76F3E"/>
    <w:rsid w:val="00E77509"/>
    <w:rsid w:val="00E77C81"/>
    <w:rsid w:val="00E8016D"/>
    <w:rsid w:val="00E80341"/>
    <w:rsid w:val="00E8199E"/>
    <w:rsid w:val="00E81F88"/>
    <w:rsid w:val="00E829C7"/>
    <w:rsid w:val="00E82D4B"/>
    <w:rsid w:val="00E854EE"/>
    <w:rsid w:val="00E856F2"/>
    <w:rsid w:val="00E87D5D"/>
    <w:rsid w:val="00E9177E"/>
    <w:rsid w:val="00E92E29"/>
    <w:rsid w:val="00E938B4"/>
    <w:rsid w:val="00E9575F"/>
    <w:rsid w:val="00E957D4"/>
    <w:rsid w:val="00EA23DC"/>
    <w:rsid w:val="00EA2845"/>
    <w:rsid w:val="00EA36AD"/>
    <w:rsid w:val="00EA67F0"/>
    <w:rsid w:val="00EA6B18"/>
    <w:rsid w:val="00EA7121"/>
    <w:rsid w:val="00EA7601"/>
    <w:rsid w:val="00EA7658"/>
    <w:rsid w:val="00EA7BB7"/>
    <w:rsid w:val="00EA7CFF"/>
    <w:rsid w:val="00EB179C"/>
    <w:rsid w:val="00EB1EF4"/>
    <w:rsid w:val="00EB37E2"/>
    <w:rsid w:val="00EB42FB"/>
    <w:rsid w:val="00EB4AD1"/>
    <w:rsid w:val="00EB5176"/>
    <w:rsid w:val="00EB537F"/>
    <w:rsid w:val="00EB5903"/>
    <w:rsid w:val="00EB5AC5"/>
    <w:rsid w:val="00EB6E1C"/>
    <w:rsid w:val="00EB6E46"/>
    <w:rsid w:val="00EC0736"/>
    <w:rsid w:val="00EC1447"/>
    <w:rsid w:val="00EC2CC0"/>
    <w:rsid w:val="00EC5374"/>
    <w:rsid w:val="00EC5C2D"/>
    <w:rsid w:val="00ED07CB"/>
    <w:rsid w:val="00ED1229"/>
    <w:rsid w:val="00ED1662"/>
    <w:rsid w:val="00ED1E7B"/>
    <w:rsid w:val="00ED3E8C"/>
    <w:rsid w:val="00ED56A7"/>
    <w:rsid w:val="00ED5AD5"/>
    <w:rsid w:val="00ED61EB"/>
    <w:rsid w:val="00EE0D29"/>
    <w:rsid w:val="00EE1DDB"/>
    <w:rsid w:val="00EE2598"/>
    <w:rsid w:val="00EE3852"/>
    <w:rsid w:val="00EE559E"/>
    <w:rsid w:val="00EE561C"/>
    <w:rsid w:val="00EE616E"/>
    <w:rsid w:val="00EE681D"/>
    <w:rsid w:val="00EE753D"/>
    <w:rsid w:val="00EF0241"/>
    <w:rsid w:val="00EF16E4"/>
    <w:rsid w:val="00EF2312"/>
    <w:rsid w:val="00EF269E"/>
    <w:rsid w:val="00EF2C34"/>
    <w:rsid w:val="00EF41B2"/>
    <w:rsid w:val="00EF4B99"/>
    <w:rsid w:val="00F0227C"/>
    <w:rsid w:val="00F06FAB"/>
    <w:rsid w:val="00F07032"/>
    <w:rsid w:val="00F074FF"/>
    <w:rsid w:val="00F10042"/>
    <w:rsid w:val="00F10EDE"/>
    <w:rsid w:val="00F11D90"/>
    <w:rsid w:val="00F1290C"/>
    <w:rsid w:val="00F12CEB"/>
    <w:rsid w:val="00F13242"/>
    <w:rsid w:val="00F146DD"/>
    <w:rsid w:val="00F14742"/>
    <w:rsid w:val="00F14CF8"/>
    <w:rsid w:val="00F16808"/>
    <w:rsid w:val="00F168A3"/>
    <w:rsid w:val="00F172FD"/>
    <w:rsid w:val="00F20155"/>
    <w:rsid w:val="00F21473"/>
    <w:rsid w:val="00F2510A"/>
    <w:rsid w:val="00F26590"/>
    <w:rsid w:val="00F30020"/>
    <w:rsid w:val="00F30DFA"/>
    <w:rsid w:val="00F31D0B"/>
    <w:rsid w:val="00F3271C"/>
    <w:rsid w:val="00F34389"/>
    <w:rsid w:val="00F353F4"/>
    <w:rsid w:val="00F35812"/>
    <w:rsid w:val="00F37DE1"/>
    <w:rsid w:val="00F40833"/>
    <w:rsid w:val="00F42348"/>
    <w:rsid w:val="00F4315D"/>
    <w:rsid w:val="00F4334D"/>
    <w:rsid w:val="00F4390A"/>
    <w:rsid w:val="00F4433C"/>
    <w:rsid w:val="00F46184"/>
    <w:rsid w:val="00F4704E"/>
    <w:rsid w:val="00F4721C"/>
    <w:rsid w:val="00F473B6"/>
    <w:rsid w:val="00F50815"/>
    <w:rsid w:val="00F511E9"/>
    <w:rsid w:val="00F54F37"/>
    <w:rsid w:val="00F55E9F"/>
    <w:rsid w:val="00F569E7"/>
    <w:rsid w:val="00F56EEA"/>
    <w:rsid w:val="00F61BD5"/>
    <w:rsid w:val="00F62091"/>
    <w:rsid w:val="00F62F10"/>
    <w:rsid w:val="00F63E5F"/>
    <w:rsid w:val="00F64970"/>
    <w:rsid w:val="00F64D01"/>
    <w:rsid w:val="00F66658"/>
    <w:rsid w:val="00F7230B"/>
    <w:rsid w:val="00F7437A"/>
    <w:rsid w:val="00F7441C"/>
    <w:rsid w:val="00F750E9"/>
    <w:rsid w:val="00F75193"/>
    <w:rsid w:val="00F759D4"/>
    <w:rsid w:val="00F75DAA"/>
    <w:rsid w:val="00F802A6"/>
    <w:rsid w:val="00F80E27"/>
    <w:rsid w:val="00F81A11"/>
    <w:rsid w:val="00F82293"/>
    <w:rsid w:val="00F82670"/>
    <w:rsid w:val="00F836F1"/>
    <w:rsid w:val="00F841D8"/>
    <w:rsid w:val="00F84214"/>
    <w:rsid w:val="00F84590"/>
    <w:rsid w:val="00F84603"/>
    <w:rsid w:val="00F85378"/>
    <w:rsid w:val="00F85CE5"/>
    <w:rsid w:val="00F87ED5"/>
    <w:rsid w:val="00F9211D"/>
    <w:rsid w:val="00F92831"/>
    <w:rsid w:val="00F9302E"/>
    <w:rsid w:val="00F95A14"/>
    <w:rsid w:val="00F96994"/>
    <w:rsid w:val="00FA12C4"/>
    <w:rsid w:val="00FA1440"/>
    <w:rsid w:val="00FA369D"/>
    <w:rsid w:val="00FA41B2"/>
    <w:rsid w:val="00FA4643"/>
    <w:rsid w:val="00FA4A1A"/>
    <w:rsid w:val="00FA74B4"/>
    <w:rsid w:val="00FA7B3A"/>
    <w:rsid w:val="00FA7B81"/>
    <w:rsid w:val="00FA7BFB"/>
    <w:rsid w:val="00FB194A"/>
    <w:rsid w:val="00FB1F2F"/>
    <w:rsid w:val="00FB28FB"/>
    <w:rsid w:val="00FB3174"/>
    <w:rsid w:val="00FB680C"/>
    <w:rsid w:val="00FB6FB7"/>
    <w:rsid w:val="00FC1BEE"/>
    <w:rsid w:val="00FC20C3"/>
    <w:rsid w:val="00FC2402"/>
    <w:rsid w:val="00FC2AB6"/>
    <w:rsid w:val="00FC2F77"/>
    <w:rsid w:val="00FC38F3"/>
    <w:rsid w:val="00FC5115"/>
    <w:rsid w:val="00FC5AC1"/>
    <w:rsid w:val="00FC6CB3"/>
    <w:rsid w:val="00FC6F82"/>
    <w:rsid w:val="00FC776E"/>
    <w:rsid w:val="00FD0002"/>
    <w:rsid w:val="00FD0726"/>
    <w:rsid w:val="00FD079F"/>
    <w:rsid w:val="00FD2048"/>
    <w:rsid w:val="00FD20CD"/>
    <w:rsid w:val="00FD2507"/>
    <w:rsid w:val="00FD2A41"/>
    <w:rsid w:val="00FD2F21"/>
    <w:rsid w:val="00FD347C"/>
    <w:rsid w:val="00FD5277"/>
    <w:rsid w:val="00FD574C"/>
    <w:rsid w:val="00FD6F21"/>
    <w:rsid w:val="00FE18C9"/>
    <w:rsid w:val="00FE2289"/>
    <w:rsid w:val="00FE23C9"/>
    <w:rsid w:val="00FE5F27"/>
    <w:rsid w:val="00FE6EE1"/>
    <w:rsid w:val="00FE738A"/>
    <w:rsid w:val="00FE7E59"/>
    <w:rsid w:val="00FE7EB5"/>
    <w:rsid w:val="00FF138F"/>
    <w:rsid w:val="00FF1685"/>
    <w:rsid w:val="00FF1FB5"/>
    <w:rsid w:val="00FF24EF"/>
    <w:rsid w:val="00FF3112"/>
    <w:rsid w:val="00FF3D06"/>
    <w:rsid w:val="00FF3DF1"/>
    <w:rsid w:val="00FF5410"/>
    <w:rsid w:val="00FF55E7"/>
    <w:rsid w:val="00FF63E8"/>
    <w:rsid w:val="00FF6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33105C8D-6AC6-4623-A089-890C2E01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7C79"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8B7C79"/>
    <w:pPr>
      <w:keepNext/>
      <w:spacing w:after="120"/>
      <w:jc w:val="center"/>
      <w:outlineLvl w:val="0"/>
    </w:pPr>
    <w:rPr>
      <w:b/>
      <w:sz w:val="22"/>
    </w:rPr>
  </w:style>
  <w:style w:type="paragraph" w:styleId="Titre2">
    <w:name w:val="heading 2"/>
    <w:basedOn w:val="Normal"/>
    <w:next w:val="Normal"/>
    <w:link w:val="Titre2Car"/>
    <w:qFormat/>
    <w:rsid w:val="008B7C79"/>
    <w:pPr>
      <w:keepNext/>
      <w:jc w:val="both"/>
      <w:outlineLvl w:val="1"/>
    </w:pPr>
    <w:rPr>
      <w:b/>
      <w:sz w:val="22"/>
    </w:rPr>
  </w:style>
  <w:style w:type="paragraph" w:styleId="Titre3">
    <w:name w:val="heading 3"/>
    <w:basedOn w:val="Normal"/>
    <w:next w:val="Normal"/>
    <w:link w:val="Titre3Car"/>
    <w:qFormat/>
    <w:rsid w:val="008B7C79"/>
    <w:pPr>
      <w:keepNext/>
      <w:spacing w:after="120"/>
      <w:jc w:val="center"/>
      <w:outlineLvl w:val="2"/>
    </w:pPr>
    <w:rPr>
      <w:b/>
      <w:bCs/>
      <w:sz w:val="18"/>
      <w:szCs w:val="16"/>
    </w:rPr>
  </w:style>
  <w:style w:type="paragraph" w:styleId="Titre4">
    <w:name w:val="heading 4"/>
    <w:basedOn w:val="Normal"/>
    <w:next w:val="Normal"/>
    <w:link w:val="Titre4Car"/>
    <w:qFormat/>
    <w:rsid w:val="008B7C79"/>
    <w:pPr>
      <w:keepNext/>
      <w:spacing w:after="120"/>
      <w:jc w:val="center"/>
      <w:outlineLvl w:val="3"/>
    </w:pPr>
    <w:rPr>
      <w:b/>
      <w:bCs/>
      <w:sz w:val="20"/>
      <w:szCs w:val="20"/>
    </w:rPr>
  </w:style>
  <w:style w:type="paragraph" w:styleId="Titre5">
    <w:name w:val="heading 5"/>
    <w:basedOn w:val="Normal"/>
    <w:next w:val="Normal"/>
    <w:link w:val="Titre5Car"/>
    <w:qFormat/>
    <w:rsid w:val="008B7C79"/>
    <w:pPr>
      <w:keepNext/>
      <w:outlineLvl w:val="4"/>
    </w:pPr>
    <w:rPr>
      <w:b/>
      <w:bCs/>
      <w:sz w:val="16"/>
      <w:szCs w:val="16"/>
    </w:rPr>
  </w:style>
  <w:style w:type="paragraph" w:styleId="Titre6">
    <w:name w:val="heading 6"/>
    <w:basedOn w:val="Normal"/>
    <w:next w:val="Normal"/>
    <w:link w:val="Titre6Car"/>
    <w:qFormat/>
    <w:rsid w:val="008B7C79"/>
    <w:pPr>
      <w:keepNext/>
      <w:outlineLvl w:val="5"/>
    </w:pPr>
    <w:rPr>
      <w:b/>
      <w:bCs/>
      <w:sz w:val="20"/>
      <w:szCs w:val="20"/>
    </w:rPr>
  </w:style>
  <w:style w:type="paragraph" w:styleId="Titre7">
    <w:name w:val="heading 7"/>
    <w:basedOn w:val="Normal"/>
    <w:next w:val="Normal"/>
    <w:link w:val="Titre7Car"/>
    <w:qFormat/>
    <w:rsid w:val="008B7C79"/>
    <w:pPr>
      <w:keepNext/>
      <w:jc w:val="both"/>
      <w:outlineLvl w:val="6"/>
    </w:pPr>
    <w:rPr>
      <w:b/>
      <w:bCs/>
      <w:szCs w:val="28"/>
    </w:rPr>
  </w:style>
  <w:style w:type="paragraph" w:styleId="Titre8">
    <w:name w:val="heading 8"/>
    <w:basedOn w:val="Normal"/>
    <w:next w:val="Normal"/>
    <w:link w:val="Titre8Car"/>
    <w:qFormat/>
    <w:rsid w:val="008B7C79"/>
    <w:pPr>
      <w:keepNext/>
      <w:outlineLvl w:val="7"/>
    </w:pPr>
    <w:rPr>
      <w:b/>
      <w:bCs/>
      <w:sz w:val="18"/>
      <w:szCs w:val="18"/>
      <w:lang w:val="en-GB"/>
    </w:rPr>
  </w:style>
  <w:style w:type="paragraph" w:styleId="Titre9">
    <w:name w:val="heading 9"/>
    <w:basedOn w:val="Normal"/>
    <w:next w:val="Normal"/>
    <w:link w:val="Titre9Car"/>
    <w:qFormat/>
    <w:rsid w:val="008B7C79"/>
    <w:pPr>
      <w:keepNext/>
      <w:jc w:val="center"/>
      <w:outlineLvl w:val="8"/>
    </w:pPr>
    <w:rPr>
      <w:b/>
      <w:bCs/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locked/>
    <w:rsid w:val="008B7C79"/>
    <w:rPr>
      <w:b/>
      <w:sz w:val="22"/>
      <w:szCs w:val="24"/>
      <w:lang w:val="fr-FR" w:eastAsia="fr-FR" w:bidi="ar-SA"/>
    </w:rPr>
  </w:style>
  <w:style w:type="character" w:customStyle="1" w:styleId="Titre2Car">
    <w:name w:val="Titre 2 Car"/>
    <w:link w:val="Titre2"/>
    <w:semiHidden/>
    <w:rsid w:val="008B7C79"/>
    <w:rPr>
      <w:b/>
      <w:sz w:val="22"/>
      <w:szCs w:val="24"/>
      <w:lang w:val="fr-FR" w:eastAsia="fr-FR" w:bidi="ar-SA"/>
    </w:rPr>
  </w:style>
  <w:style w:type="character" w:customStyle="1" w:styleId="Titre3Car">
    <w:name w:val="Titre 3 Car"/>
    <w:link w:val="Titre3"/>
    <w:semiHidden/>
    <w:rsid w:val="008B7C79"/>
    <w:rPr>
      <w:b/>
      <w:bCs/>
      <w:sz w:val="18"/>
      <w:szCs w:val="16"/>
      <w:lang w:val="fr-FR" w:eastAsia="fr-FR" w:bidi="ar-SA"/>
    </w:rPr>
  </w:style>
  <w:style w:type="character" w:customStyle="1" w:styleId="Titre4Car">
    <w:name w:val="Titre 4 Car"/>
    <w:link w:val="Titre4"/>
    <w:semiHidden/>
    <w:locked/>
    <w:rsid w:val="008B7C79"/>
    <w:rPr>
      <w:b/>
      <w:bCs/>
      <w:lang w:val="fr-FR" w:eastAsia="fr-FR" w:bidi="ar-SA"/>
    </w:rPr>
  </w:style>
  <w:style w:type="character" w:customStyle="1" w:styleId="Titre5Car">
    <w:name w:val="Titre 5 Car"/>
    <w:link w:val="Titre5"/>
    <w:semiHidden/>
    <w:locked/>
    <w:rsid w:val="008B7C79"/>
    <w:rPr>
      <w:b/>
      <w:bCs/>
      <w:sz w:val="16"/>
      <w:szCs w:val="16"/>
      <w:lang w:val="fr-FR" w:eastAsia="fr-FR" w:bidi="ar-SA"/>
    </w:rPr>
  </w:style>
  <w:style w:type="character" w:customStyle="1" w:styleId="Titre6Car">
    <w:name w:val="Titre 6 Car"/>
    <w:link w:val="Titre6"/>
    <w:semiHidden/>
    <w:locked/>
    <w:rsid w:val="008B7C79"/>
    <w:rPr>
      <w:b/>
      <w:bCs/>
      <w:lang w:val="fr-FR" w:eastAsia="fr-FR" w:bidi="ar-SA"/>
    </w:rPr>
  </w:style>
  <w:style w:type="character" w:customStyle="1" w:styleId="Titre7Car">
    <w:name w:val="Titre 7 Car"/>
    <w:link w:val="Titre7"/>
    <w:semiHidden/>
    <w:locked/>
    <w:rsid w:val="008B7C79"/>
    <w:rPr>
      <w:b/>
      <w:bCs/>
      <w:sz w:val="24"/>
      <w:szCs w:val="28"/>
      <w:lang w:val="fr-FR" w:eastAsia="fr-FR" w:bidi="ar-SA"/>
    </w:rPr>
  </w:style>
  <w:style w:type="character" w:customStyle="1" w:styleId="Titre8Car">
    <w:name w:val="Titre 8 Car"/>
    <w:link w:val="Titre8"/>
    <w:semiHidden/>
    <w:locked/>
    <w:rsid w:val="008B7C79"/>
    <w:rPr>
      <w:b/>
      <w:bCs/>
      <w:sz w:val="18"/>
      <w:szCs w:val="18"/>
      <w:lang w:val="en-GB" w:eastAsia="fr-FR" w:bidi="ar-SA"/>
    </w:rPr>
  </w:style>
  <w:style w:type="character" w:customStyle="1" w:styleId="Titre9Car">
    <w:name w:val="Titre 9 Car"/>
    <w:link w:val="Titre9"/>
    <w:semiHidden/>
    <w:locked/>
    <w:rsid w:val="008B7C79"/>
    <w:rPr>
      <w:b/>
      <w:bCs/>
      <w:sz w:val="16"/>
      <w:szCs w:val="16"/>
      <w:lang w:val="fr-FR" w:eastAsia="fr-FR" w:bidi="ar-SA"/>
    </w:rPr>
  </w:style>
  <w:style w:type="paragraph" w:styleId="NormalWeb">
    <w:name w:val="Normal (Web)"/>
    <w:basedOn w:val="Normal"/>
    <w:rsid w:val="008B7C79"/>
    <w:pPr>
      <w:spacing w:before="100" w:beforeAutospacing="1" w:after="100" w:afterAutospacing="1"/>
    </w:pPr>
  </w:style>
  <w:style w:type="paragraph" w:styleId="Corpsdetexte">
    <w:name w:val="Body Text"/>
    <w:basedOn w:val="Normal"/>
    <w:link w:val="CorpsdetexteCar"/>
    <w:rsid w:val="008B7C79"/>
    <w:pPr>
      <w:jc w:val="both"/>
    </w:pPr>
  </w:style>
  <w:style w:type="character" w:customStyle="1" w:styleId="CorpsdetexteCar">
    <w:name w:val="Corps de texte Car"/>
    <w:link w:val="Corpsdetexte"/>
    <w:semiHidden/>
    <w:rsid w:val="008B7C79"/>
    <w:rPr>
      <w:sz w:val="24"/>
      <w:szCs w:val="24"/>
      <w:lang w:val="fr-FR" w:eastAsia="fr-FR" w:bidi="ar-SA"/>
    </w:rPr>
  </w:style>
  <w:style w:type="character" w:styleId="Numrodepage">
    <w:name w:val="page number"/>
    <w:basedOn w:val="Policepardfaut"/>
    <w:rsid w:val="008B7C79"/>
  </w:style>
  <w:style w:type="paragraph" w:styleId="Pieddepage">
    <w:name w:val="footer"/>
    <w:basedOn w:val="Normal"/>
    <w:link w:val="PieddepageCar"/>
    <w:uiPriority w:val="99"/>
    <w:rsid w:val="008B7C7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8B7C79"/>
    <w:rPr>
      <w:sz w:val="24"/>
      <w:szCs w:val="24"/>
      <w:lang w:val="fr-FR" w:eastAsia="fr-FR" w:bidi="ar-SA"/>
    </w:rPr>
  </w:style>
  <w:style w:type="paragraph" w:styleId="Titre">
    <w:name w:val="Title"/>
    <w:basedOn w:val="Normal"/>
    <w:link w:val="TitreCar"/>
    <w:qFormat/>
    <w:rsid w:val="008B7C79"/>
    <w:pPr>
      <w:jc w:val="center"/>
    </w:pPr>
    <w:rPr>
      <w:b/>
      <w:bCs/>
      <w:szCs w:val="28"/>
    </w:rPr>
  </w:style>
  <w:style w:type="character" w:customStyle="1" w:styleId="TitreCar">
    <w:name w:val="Titre Car"/>
    <w:link w:val="Titre"/>
    <w:rsid w:val="008B7C79"/>
    <w:rPr>
      <w:b/>
      <w:bCs/>
      <w:sz w:val="24"/>
      <w:szCs w:val="28"/>
      <w:lang w:val="fr-FR" w:eastAsia="fr-FR" w:bidi="ar-SA"/>
    </w:rPr>
  </w:style>
  <w:style w:type="paragraph" w:styleId="Corpsdetexte2">
    <w:name w:val="Body Text 2"/>
    <w:basedOn w:val="Normal"/>
    <w:link w:val="Corpsdetexte2Car"/>
    <w:rsid w:val="008B7C79"/>
    <w:pPr>
      <w:spacing w:after="120" w:line="480" w:lineRule="auto"/>
    </w:pPr>
  </w:style>
  <w:style w:type="character" w:customStyle="1" w:styleId="Corpsdetexte2Car">
    <w:name w:val="Corps de texte 2 Car"/>
    <w:link w:val="Corpsdetexte2"/>
    <w:semiHidden/>
    <w:locked/>
    <w:rsid w:val="008B7C79"/>
    <w:rPr>
      <w:sz w:val="24"/>
      <w:szCs w:val="24"/>
      <w:lang w:val="fr-FR" w:eastAsia="fr-FR" w:bidi="ar-SA"/>
    </w:rPr>
  </w:style>
  <w:style w:type="paragraph" w:styleId="Paragraphedeliste">
    <w:name w:val="List Paragraph"/>
    <w:basedOn w:val="Normal"/>
    <w:uiPriority w:val="34"/>
    <w:qFormat/>
    <w:rsid w:val="008B7C79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paragraph" w:styleId="Notedebasdepage">
    <w:name w:val="footnote text"/>
    <w:basedOn w:val="Normal"/>
    <w:link w:val="NotedebasdepageCar"/>
    <w:semiHidden/>
    <w:rsid w:val="008B7C79"/>
    <w:rPr>
      <w:sz w:val="20"/>
      <w:szCs w:val="20"/>
    </w:rPr>
  </w:style>
  <w:style w:type="character" w:customStyle="1" w:styleId="NotedebasdepageCar">
    <w:name w:val="Note de bas de page Car"/>
    <w:link w:val="Notedebasdepage"/>
    <w:semiHidden/>
    <w:locked/>
    <w:rsid w:val="008B7C79"/>
    <w:rPr>
      <w:lang w:val="fr-FR" w:eastAsia="fr-FR" w:bidi="ar-SA"/>
    </w:rPr>
  </w:style>
  <w:style w:type="character" w:styleId="Appelnotedebasdep">
    <w:name w:val="footnote reference"/>
    <w:semiHidden/>
    <w:rsid w:val="008B7C79"/>
    <w:rPr>
      <w:vertAlign w:val="superscript"/>
    </w:rPr>
  </w:style>
  <w:style w:type="paragraph" w:styleId="En-tte">
    <w:name w:val="header"/>
    <w:basedOn w:val="Normal"/>
    <w:link w:val="En-tteCar"/>
    <w:rsid w:val="008B7C79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semiHidden/>
    <w:rsid w:val="008B7C79"/>
    <w:rPr>
      <w:sz w:val="24"/>
      <w:szCs w:val="24"/>
      <w:lang w:val="fr-FR" w:eastAsia="fr-FR" w:bidi="ar-SA"/>
    </w:rPr>
  </w:style>
  <w:style w:type="character" w:customStyle="1" w:styleId="hps">
    <w:name w:val="hps"/>
    <w:basedOn w:val="Policepardfaut"/>
    <w:rsid w:val="008B7C79"/>
  </w:style>
  <w:style w:type="character" w:customStyle="1" w:styleId="hpsatn">
    <w:name w:val="hps atn"/>
    <w:basedOn w:val="Policepardfaut"/>
    <w:rsid w:val="008B7C79"/>
  </w:style>
  <w:style w:type="character" w:customStyle="1" w:styleId="hpsalt-edited">
    <w:name w:val="hps alt-edited"/>
    <w:basedOn w:val="Policepardfaut"/>
    <w:rsid w:val="008B7C79"/>
  </w:style>
  <w:style w:type="character" w:styleId="Accentuation">
    <w:name w:val="Emphasis"/>
    <w:qFormat/>
    <w:rsid w:val="008B7C79"/>
    <w:rPr>
      <w:rFonts w:cs="Times New Roman"/>
      <w:i/>
      <w:iCs/>
    </w:rPr>
  </w:style>
  <w:style w:type="paragraph" w:customStyle="1" w:styleId="spip">
    <w:name w:val="spip"/>
    <w:basedOn w:val="Normal"/>
    <w:rsid w:val="008B7C79"/>
    <w:pPr>
      <w:spacing w:before="100" w:beforeAutospacing="1" w:after="100" w:afterAutospacing="1"/>
    </w:pPr>
  </w:style>
  <w:style w:type="paragraph" w:styleId="Textedebulles">
    <w:name w:val="Balloon Text"/>
    <w:basedOn w:val="Normal"/>
    <w:link w:val="TextedebullesCar"/>
    <w:semiHidden/>
    <w:rsid w:val="008B7C7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rsid w:val="008B7C79"/>
    <w:rPr>
      <w:rFonts w:ascii="Tahoma" w:hAnsi="Tahoma" w:cs="Tahoma"/>
      <w:sz w:val="16"/>
      <w:szCs w:val="16"/>
      <w:lang w:val="fr-FR" w:eastAsia="fr-FR" w:bidi="ar-SA"/>
    </w:rPr>
  </w:style>
  <w:style w:type="character" w:customStyle="1" w:styleId="longtext">
    <w:name w:val="long_text"/>
    <w:basedOn w:val="Policepardfaut"/>
    <w:rsid w:val="008B7C79"/>
  </w:style>
  <w:style w:type="character" w:customStyle="1" w:styleId="atn">
    <w:name w:val="atn"/>
    <w:basedOn w:val="Policepardfaut"/>
    <w:rsid w:val="008B7C79"/>
  </w:style>
  <w:style w:type="character" w:customStyle="1" w:styleId="gt-icon-text">
    <w:name w:val="gt-icon-text"/>
    <w:basedOn w:val="Policepardfaut"/>
    <w:rsid w:val="008B7C79"/>
  </w:style>
  <w:style w:type="character" w:customStyle="1" w:styleId="shorttext">
    <w:name w:val="short_text"/>
    <w:basedOn w:val="Policepardfaut"/>
    <w:rsid w:val="008B7C79"/>
  </w:style>
  <w:style w:type="character" w:styleId="Lienhypertexte">
    <w:name w:val="Hyperlink"/>
    <w:rsid w:val="008B7C79"/>
    <w:rPr>
      <w:color w:val="0066FF"/>
      <w:u w:val="single"/>
    </w:rPr>
  </w:style>
  <w:style w:type="paragraph" w:customStyle="1" w:styleId="Default">
    <w:name w:val="Default"/>
    <w:rsid w:val="008B7C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leChar">
    <w:name w:val="Title Char"/>
    <w:locked/>
    <w:rsid w:val="008B7C79"/>
    <w:rPr>
      <w:rFonts w:cs="Times New Roman"/>
      <w:b/>
      <w:bCs/>
      <w:sz w:val="28"/>
      <w:szCs w:val="28"/>
      <w:lang w:val="fr-FR" w:eastAsia="fr-FR" w:bidi="ar-SA"/>
    </w:rPr>
  </w:style>
  <w:style w:type="character" w:customStyle="1" w:styleId="TitleChar1">
    <w:name w:val="Title Char1"/>
    <w:locked/>
    <w:rsid w:val="008B7C79"/>
    <w:rPr>
      <w:rFonts w:cs="Times New Roman"/>
      <w:b/>
      <w:bCs/>
      <w:sz w:val="28"/>
      <w:szCs w:val="28"/>
      <w:lang w:val="fr-FR" w:eastAsia="fr-FR" w:bidi="ar-SA"/>
    </w:rPr>
  </w:style>
  <w:style w:type="paragraph" w:customStyle="1" w:styleId="Paragraphedeliste1">
    <w:name w:val="Paragraphe de liste1"/>
    <w:basedOn w:val="Normal"/>
    <w:rsid w:val="008B7C79"/>
    <w:pPr>
      <w:spacing w:after="200" w:line="276" w:lineRule="auto"/>
      <w:ind w:left="720"/>
    </w:pPr>
    <w:rPr>
      <w:rFonts w:ascii="Calibri" w:hAnsi="Calibri" w:cs="Arial"/>
      <w:sz w:val="22"/>
      <w:szCs w:val="22"/>
      <w:lang w:eastAsia="en-US"/>
    </w:rPr>
  </w:style>
  <w:style w:type="character" w:customStyle="1" w:styleId="Emphaseintense1">
    <w:name w:val="Emphase intense1"/>
    <w:rsid w:val="008B7C79"/>
    <w:rPr>
      <w:rFonts w:cs="Times New Roman"/>
      <w:b/>
      <w:bCs/>
      <w:i/>
      <w:iCs/>
      <w:color w:val="4F81BD"/>
    </w:rPr>
  </w:style>
  <w:style w:type="paragraph" w:styleId="Retraitcorpsdetexte2">
    <w:name w:val="Body Text Indent 2"/>
    <w:basedOn w:val="Normal"/>
    <w:link w:val="Retraitcorpsdetexte2Car"/>
    <w:unhideWhenUsed/>
    <w:rsid w:val="00572FD7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rsid w:val="00572FD7"/>
    <w:rPr>
      <w:sz w:val="24"/>
      <w:szCs w:val="24"/>
    </w:rPr>
  </w:style>
  <w:style w:type="table" w:styleId="Grilledutableau">
    <w:name w:val="Table Grid"/>
    <w:basedOn w:val="TableauNormal"/>
    <w:rsid w:val="003869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semiHidden/>
    <w:unhideWhenUsed/>
    <w:rsid w:val="00D446F4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D446F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D446F4"/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D446F4"/>
    <w:rPr>
      <w:b/>
      <w:bCs/>
    </w:rPr>
  </w:style>
  <w:style w:type="character" w:customStyle="1" w:styleId="ObjetducommentaireCar">
    <w:name w:val="Objet du commentaire Car"/>
    <w:link w:val="Objetducommentaire"/>
    <w:semiHidden/>
    <w:rsid w:val="00D446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hart" Target="charts/chart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chart" Target="charts/chart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solidFill>
                  <a:sysClr val="windowText" lastClr="000000"/>
                </a:solidFill>
              </a:defRPr>
            </a:pPr>
            <a:r>
              <a:rPr lang="fr-FR" sz="899" b="1" i="0" baseline="0">
                <a:solidFill>
                  <a:sysClr val="windowText" lastClr="000000"/>
                </a:solidFill>
              </a:rPr>
              <a:t>Opinions des chefs d'entreprises du secteur des services marchands non financiers</a:t>
            </a:r>
          </a:p>
          <a:p>
            <a:pPr>
              <a:defRPr>
                <a:solidFill>
                  <a:sysClr val="windowText" lastClr="000000"/>
                </a:solidFill>
              </a:defRPr>
            </a:pPr>
            <a:r>
              <a:rPr lang="fr-FR" sz="899" b="1" i="0" baseline="0">
                <a:solidFill>
                  <a:sysClr val="windowText" lastClr="000000"/>
                </a:solidFill>
              </a:rPr>
              <a:t>(proportion en %) </a:t>
            </a:r>
            <a:endParaRPr lang="fr-FR" sz="900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8.698303756806515E-2"/>
          <c:y val="2.5033109393435911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3723667300208164"/>
          <c:y val="0.20831079788495821"/>
          <c:w val="0.67115550371020005"/>
          <c:h val="0.66283143178532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hausse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Activité globale</c:v>
                </c:pt>
                <c:pt idx="1">
                  <c:v>Carnet de commandes</c:v>
                </c:pt>
                <c:pt idx="2">
                  <c:v>Prix de vente</c:v>
                </c:pt>
                <c:pt idx="3">
                  <c:v>Effectifs employés</c:v>
                </c:pt>
              </c:strCache>
            </c:strRef>
          </c:cat>
          <c:val>
            <c:numRef>
              <c:f>Feuil1!$B$2:$B$5</c:f>
              <c:numCache>
                <c:formatCode>General</c:formatCode>
                <c:ptCount val="4"/>
                <c:pt idx="0" formatCode="0.00">
                  <c:v>57.11</c:v>
                </c:pt>
                <c:pt idx="1">
                  <c:v>4.24</c:v>
                </c:pt>
                <c:pt idx="2">
                  <c:v>5.74</c:v>
                </c:pt>
                <c:pt idx="3">
                  <c:v>11.54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91A-42DB-8724-90AC111920FB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stabilité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Activité globale</c:v>
                </c:pt>
                <c:pt idx="1">
                  <c:v>Carnet de commandes</c:v>
                </c:pt>
                <c:pt idx="2">
                  <c:v>Prix de vente</c:v>
                </c:pt>
                <c:pt idx="3">
                  <c:v>Effectifs employés</c:v>
                </c:pt>
              </c:strCache>
            </c:strRef>
          </c:cat>
          <c:val>
            <c:numRef>
              <c:f>Feuil1!$C$2:$C$5</c:f>
              <c:numCache>
                <c:formatCode>General</c:formatCode>
                <c:ptCount val="4"/>
                <c:pt idx="0" formatCode="0.00">
                  <c:v>21.04</c:v>
                </c:pt>
                <c:pt idx="1">
                  <c:v>55.68</c:v>
                </c:pt>
                <c:pt idx="2">
                  <c:v>70.25</c:v>
                </c:pt>
                <c:pt idx="3">
                  <c:v>67.36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91A-42DB-8724-90AC111920FB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baisse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Activité globale</c:v>
                </c:pt>
                <c:pt idx="1">
                  <c:v>Carnet de commandes</c:v>
                </c:pt>
                <c:pt idx="2">
                  <c:v>Prix de vente</c:v>
                </c:pt>
                <c:pt idx="3">
                  <c:v>Effectifs employés</c:v>
                </c:pt>
              </c:strCache>
            </c:strRef>
          </c:cat>
          <c:val>
            <c:numRef>
              <c:f>Feuil1!$D$2:$D$5</c:f>
              <c:numCache>
                <c:formatCode>General</c:formatCode>
                <c:ptCount val="4"/>
                <c:pt idx="0" formatCode="0.00">
                  <c:v>21.85</c:v>
                </c:pt>
                <c:pt idx="1">
                  <c:v>40.08</c:v>
                </c:pt>
                <c:pt idx="2">
                  <c:v>24.01</c:v>
                </c:pt>
                <c:pt idx="3">
                  <c:v>21.110000000000007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91A-42DB-8724-90AC111920FB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solde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Activité globale</c:v>
                </c:pt>
                <c:pt idx="1">
                  <c:v>Carnet de commandes</c:v>
                </c:pt>
                <c:pt idx="2">
                  <c:v>Prix de vente</c:v>
                </c:pt>
                <c:pt idx="3">
                  <c:v>Effectifs employés</c:v>
                </c:pt>
              </c:strCache>
            </c:strRef>
          </c:cat>
          <c:val>
            <c:numRef>
              <c:f>Feuil1!$E$2:$E$5</c:f>
              <c:numCache>
                <c:formatCode>General</c:formatCode>
                <c:ptCount val="4"/>
                <c:pt idx="0" formatCode="0.00">
                  <c:v>35.260000000000012</c:v>
                </c:pt>
                <c:pt idx="1">
                  <c:v>-35.840000000000003</c:v>
                </c:pt>
                <c:pt idx="2">
                  <c:v>-18.27</c:v>
                </c:pt>
                <c:pt idx="3">
                  <c:v>-9.57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F91A-42DB-8724-90AC111920F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117216"/>
        <c:axId val="1696099264"/>
      </c:barChart>
      <c:dateAx>
        <c:axId val="1696117216"/>
        <c:scaling>
          <c:orientation val="minMax"/>
        </c:scaling>
        <c:delete val="0"/>
        <c:axPos val="b"/>
        <c:majorGridlines/>
        <c:numFmt formatCode="General" sourceLinked="0"/>
        <c:majorTickMark val="none"/>
        <c:minorTickMark val="none"/>
        <c:tickLblPos val="low"/>
        <c:txPr>
          <a:bodyPr anchor="b" anchorCtr="0"/>
          <a:lstStyle/>
          <a:p>
            <a:pPr>
              <a:defRPr sz="799" b="1"/>
            </a:pPr>
            <a:endParaRPr lang="fr-FR"/>
          </a:p>
        </c:txPr>
        <c:crossAx val="1696099264"/>
        <c:crosses val="autoZero"/>
        <c:auto val="0"/>
        <c:lblOffset val="100"/>
        <c:baseTimeUnit val="days"/>
      </c:dateAx>
      <c:valAx>
        <c:axId val="1696099264"/>
        <c:scaling>
          <c:orientation val="minMax"/>
        </c:scaling>
        <c:delete val="0"/>
        <c:axPos val="l"/>
        <c:majorGridlines/>
        <c:numFmt formatCode="0" sourceLinked="0"/>
        <c:majorTickMark val="none"/>
        <c:minorTickMark val="none"/>
        <c:tickLblPos val="nextTo"/>
        <c:crossAx val="169611721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1123265561954061"/>
          <c:y val="0.36675800845995182"/>
          <c:w val="0.18541653935049204"/>
          <c:h val="0.28913193190300746"/>
        </c:manualLayout>
      </c:layout>
      <c:overlay val="0"/>
      <c:txPr>
        <a:bodyPr/>
        <a:lstStyle/>
        <a:p>
          <a:pPr>
            <a:defRPr sz="799" b="1"/>
          </a:pPr>
          <a:endParaRPr lang="fr-FR"/>
        </a:p>
      </c:txPr>
    </c:legend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fr-FR" sz="899"/>
              <a:t>Opinions des grossistes (proportion en %) </a:t>
            </a:r>
          </a:p>
        </c:rich>
      </c:tx>
      <c:layout>
        <c:manualLayout>
          <c:xMode val="edge"/>
          <c:yMode val="edge"/>
          <c:x val="0.17250033745781804"/>
          <c:y val="2.171473522582016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4235000360209021"/>
          <c:y val="0.10202525095117694"/>
          <c:w val="0.68199022920211394"/>
          <c:h val="0.647368467477786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Hausse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Feuil1!$B$2:$B$5</c:f>
              <c:numCache>
                <c:formatCode>0</c:formatCode>
                <c:ptCount val="4"/>
                <c:pt idx="0">
                  <c:v>20.95</c:v>
                </c:pt>
                <c:pt idx="1">
                  <c:v>9.91</c:v>
                </c:pt>
                <c:pt idx="2">
                  <c:v>12.43</c:v>
                </c:pt>
                <c:pt idx="3">
                  <c:v>16.439999999999987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C20-4BF2-9C94-B58BFE5A7827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Stabilité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Feuil1!$C$2:$C$5</c:f>
              <c:numCache>
                <c:formatCode>0</c:formatCode>
                <c:ptCount val="4"/>
                <c:pt idx="0">
                  <c:v>36.43</c:v>
                </c:pt>
                <c:pt idx="1">
                  <c:v>81.73</c:v>
                </c:pt>
                <c:pt idx="2">
                  <c:v>76.66</c:v>
                </c:pt>
                <c:pt idx="3">
                  <c:v>73.239999999999995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C20-4BF2-9C94-B58BFE5A7827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Baisse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Feuil1!$D$2:$D$5</c:f>
              <c:numCache>
                <c:formatCode>0</c:formatCode>
                <c:ptCount val="4"/>
                <c:pt idx="0">
                  <c:v>42.620000000000012</c:v>
                </c:pt>
                <c:pt idx="1">
                  <c:v>8.3600000000000048</c:v>
                </c:pt>
                <c:pt idx="2">
                  <c:v>10.91</c:v>
                </c:pt>
                <c:pt idx="3">
                  <c:v>10.32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C20-4BF2-9C94-B58BFE5A7827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Solde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Feuil1!$E$2:$E$5</c:f>
              <c:numCache>
                <c:formatCode>0</c:formatCode>
                <c:ptCount val="4"/>
                <c:pt idx="0">
                  <c:v>-21.67</c:v>
                </c:pt>
                <c:pt idx="1">
                  <c:v>1.54</c:v>
                </c:pt>
                <c:pt idx="2">
                  <c:v>1.53</c:v>
                </c:pt>
                <c:pt idx="3">
                  <c:v>6.1199999999999966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9C20-4BF2-9C94-B58BFE5A78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122656"/>
        <c:axId val="1696116672"/>
      </c:barChart>
      <c:catAx>
        <c:axId val="1696122656"/>
        <c:scaling>
          <c:orientation val="minMax"/>
        </c:scaling>
        <c:delete val="0"/>
        <c:axPos val="b"/>
        <c:majorGridlines>
          <c:spPr>
            <a:ln w="15861">
              <a:solidFill>
                <a:schemeClr val="bg1">
                  <a:lumMod val="50000"/>
                </a:schemeClr>
              </a:solidFill>
            </a:ln>
          </c:spPr>
        </c:majorGridlines>
        <c:numFmt formatCode="General" sourceLinked="0"/>
        <c:majorTickMark val="none"/>
        <c:minorTickMark val="none"/>
        <c:tickLblPos val="low"/>
        <c:spPr>
          <a:ln w="15861"/>
        </c:spPr>
        <c:txPr>
          <a:bodyPr/>
          <a:lstStyle/>
          <a:p>
            <a:pPr>
              <a:defRPr sz="799" b="1" baseline="0"/>
            </a:pPr>
            <a:endParaRPr lang="fr-FR"/>
          </a:p>
        </c:txPr>
        <c:crossAx val="1696116672"/>
        <c:crosses val="autoZero"/>
        <c:auto val="1"/>
        <c:lblAlgn val="ctr"/>
        <c:lblOffset val="100"/>
        <c:noMultiLvlLbl val="0"/>
      </c:catAx>
      <c:valAx>
        <c:axId val="1696116672"/>
        <c:scaling>
          <c:orientation val="minMax"/>
        </c:scaling>
        <c:delete val="0"/>
        <c:axPos val="l"/>
        <c:majorGridlines/>
        <c:numFmt formatCode="0" sourceLinked="1"/>
        <c:majorTickMark val="none"/>
        <c:minorTickMark val="none"/>
        <c:tickLblPos val="nextTo"/>
        <c:crossAx val="1696122656"/>
        <c:crosses val="autoZero"/>
        <c:crossBetween val="between"/>
      </c:valAx>
      <c:spPr>
        <a:ln>
          <a:prstDash val="solid"/>
        </a:ln>
      </c:spPr>
    </c:plotArea>
    <c:legend>
      <c:legendPos val="r"/>
      <c:layout>
        <c:manualLayout>
          <c:xMode val="edge"/>
          <c:yMode val="edge"/>
          <c:x val="0.8339053618297716"/>
          <c:y val="0.34970795797499382"/>
          <c:w val="0.16432845894263193"/>
          <c:h val="0.33234034506493665"/>
        </c:manualLayout>
      </c:layout>
      <c:overlay val="0"/>
      <c:txPr>
        <a:bodyPr/>
        <a:lstStyle/>
        <a:p>
          <a:pPr>
            <a:defRPr sz="799"/>
          </a:pPr>
          <a:endParaRPr lang="fr-FR"/>
        </a:p>
      </c:txPr>
    </c:legend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fr-FR" sz="900"/>
              <a:t>Opinions des grossistes (proportion en %) </a:t>
            </a:r>
          </a:p>
        </c:rich>
      </c:tx>
      <c:layout>
        <c:manualLayout>
          <c:xMode val="edge"/>
          <c:yMode val="edge"/>
          <c:x val="0.17250034405297412"/>
          <c:y val="2.1714700710954819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4235000360209021"/>
          <c:y val="0.10202525095117636"/>
          <c:w val="0.68199022920211283"/>
          <c:h val="0.7689371622664882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Hausse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Feuil1!$B$2:$B$5</c:f>
              <c:numCache>
                <c:formatCode>0</c:formatCode>
                <c:ptCount val="4"/>
                <c:pt idx="0">
                  <c:v>25.110000000000007</c:v>
                </c:pt>
                <c:pt idx="1">
                  <c:v>10.8</c:v>
                </c:pt>
                <c:pt idx="2">
                  <c:v>9.39</c:v>
                </c:pt>
                <c:pt idx="3">
                  <c:v>29.93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9A1-40D9-A7A0-B5C21DD888A3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Stabilité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Feuil1!$C$2:$C$5</c:f>
              <c:numCache>
                <c:formatCode>0</c:formatCode>
                <c:ptCount val="4"/>
                <c:pt idx="0">
                  <c:v>58</c:v>
                </c:pt>
                <c:pt idx="1">
                  <c:v>79.59</c:v>
                </c:pt>
                <c:pt idx="2">
                  <c:v>71.099999999999994</c:v>
                </c:pt>
                <c:pt idx="3">
                  <c:v>64.03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9A1-40D9-A7A0-B5C21DD888A3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Baisse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Feuil1!$D$2:$D$5</c:f>
              <c:numCache>
                <c:formatCode>0</c:formatCode>
                <c:ptCount val="4"/>
                <c:pt idx="0">
                  <c:v>16.84</c:v>
                </c:pt>
                <c:pt idx="1">
                  <c:v>9.61</c:v>
                </c:pt>
                <c:pt idx="2">
                  <c:v>19.510000000000005</c:v>
                </c:pt>
                <c:pt idx="3">
                  <c:v>6.04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9A1-40D9-A7A0-B5C21DD888A3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Solde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Feuil1!$E$2:$E$5</c:f>
              <c:numCache>
                <c:formatCode>0</c:formatCode>
                <c:ptCount val="4"/>
                <c:pt idx="0">
                  <c:v>8.27</c:v>
                </c:pt>
                <c:pt idx="1">
                  <c:v>1.2</c:v>
                </c:pt>
                <c:pt idx="2">
                  <c:v>-10.120000000000001</c:v>
                </c:pt>
                <c:pt idx="3">
                  <c:v>23.88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89A1-40D9-A7A0-B5C21DD888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103616"/>
        <c:axId val="1696123200"/>
      </c:barChart>
      <c:catAx>
        <c:axId val="1696103616"/>
        <c:scaling>
          <c:orientation val="minMax"/>
        </c:scaling>
        <c:delete val="0"/>
        <c:axPos val="b"/>
        <c:majorGridlines>
          <c:spPr>
            <a:ln w="15876">
              <a:solidFill>
                <a:schemeClr val="bg1">
                  <a:lumMod val="50000"/>
                </a:schemeClr>
              </a:solidFill>
            </a:ln>
          </c:spPr>
        </c:majorGridlines>
        <c:numFmt formatCode="General" sourceLinked="0"/>
        <c:majorTickMark val="none"/>
        <c:minorTickMark val="none"/>
        <c:tickLblPos val="low"/>
        <c:spPr>
          <a:ln w="15876"/>
        </c:spPr>
        <c:txPr>
          <a:bodyPr/>
          <a:lstStyle/>
          <a:p>
            <a:pPr>
              <a:defRPr sz="800" b="1" baseline="0"/>
            </a:pPr>
            <a:endParaRPr lang="fr-FR"/>
          </a:p>
        </c:txPr>
        <c:crossAx val="1696123200"/>
        <c:crosses val="autoZero"/>
        <c:auto val="1"/>
        <c:lblAlgn val="ctr"/>
        <c:lblOffset val="100"/>
        <c:noMultiLvlLbl val="0"/>
      </c:catAx>
      <c:valAx>
        <c:axId val="1696123200"/>
        <c:scaling>
          <c:orientation val="minMax"/>
        </c:scaling>
        <c:delete val="0"/>
        <c:axPos val="l"/>
        <c:majorGridlines/>
        <c:numFmt formatCode="0" sourceLinked="1"/>
        <c:majorTickMark val="none"/>
        <c:minorTickMark val="none"/>
        <c:tickLblPos val="nextTo"/>
        <c:crossAx val="1696103616"/>
        <c:crosses val="autoZero"/>
        <c:crossBetween val="between"/>
      </c:valAx>
      <c:spPr>
        <a:ln>
          <a:prstDash val="solid"/>
        </a:ln>
      </c:spPr>
    </c:plotArea>
    <c:legend>
      <c:legendPos val="r"/>
      <c:layout>
        <c:manualLayout>
          <c:xMode val="edge"/>
          <c:yMode val="edge"/>
          <c:x val="0.83390530729113665"/>
          <c:y val="0.34970799238330502"/>
          <c:w val="0.16432845894263221"/>
          <c:h val="0.33234019660586694"/>
        </c:manualLayout>
      </c:layout>
      <c:overlay val="0"/>
      <c:txPr>
        <a:bodyPr/>
        <a:lstStyle/>
        <a:p>
          <a:pPr>
            <a:defRPr sz="800"/>
          </a:pPr>
          <a:endParaRPr lang="fr-FR"/>
        </a:p>
      </c:txPr>
    </c:legend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828">
                <a:solidFill>
                  <a:sysClr val="windowText" lastClr="000000"/>
                </a:solidFill>
              </a:defRPr>
            </a:pPr>
            <a:r>
              <a:rPr lang="fr-FR" sz="901">
                <a:solidFill>
                  <a:sysClr val="windowText" lastClr="000000"/>
                </a:solidFill>
              </a:rPr>
              <a:t>Anticipations des chefs d'entreprises du secteur des services marchands non financiers </a:t>
            </a:r>
          </a:p>
          <a:p>
            <a:pPr>
              <a:defRPr sz="828">
                <a:solidFill>
                  <a:sysClr val="windowText" lastClr="000000"/>
                </a:solidFill>
              </a:defRPr>
            </a:pPr>
            <a:r>
              <a:rPr lang="fr-FR" sz="901">
                <a:solidFill>
                  <a:sysClr val="windowText" lastClr="000000"/>
                </a:solidFill>
              </a:rPr>
              <a:t>(proportion en %)  </a:t>
            </a:r>
          </a:p>
        </c:rich>
      </c:tx>
      <c:layout>
        <c:manualLayout>
          <c:xMode val="edge"/>
          <c:yMode val="edge"/>
          <c:x val="0.10938785877571755"/>
          <c:y val="4.6807226019824504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1998064304461969"/>
          <c:y val="0.2537793691281548"/>
          <c:w val="0.68914574904656267"/>
          <c:h val="0.6068384977057904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Hausse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Activité globale</c:v>
                </c:pt>
                <c:pt idx="1">
                  <c:v>Demande prévue</c:v>
                </c:pt>
                <c:pt idx="2">
                  <c:v>Prix de vente</c:v>
                </c:pt>
                <c:pt idx="3">
                  <c:v>Effectifs employés</c:v>
                </c:pt>
              </c:strCache>
            </c:strRef>
          </c:cat>
          <c:val>
            <c:numRef>
              <c:f>Feuil1!$B$2:$B$5</c:f>
              <c:numCache>
                <c:formatCode>General</c:formatCode>
                <c:ptCount val="4"/>
                <c:pt idx="0">
                  <c:v>33.81</c:v>
                </c:pt>
                <c:pt idx="1">
                  <c:v>18.43</c:v>
                </c:pt>
                <c:pt idx="2">
                  <c:v>16.68</c:v>
                </c:pt>
                <c:pt idx="3">
                  <c:v>14.4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9F2-4EFA-A574-1C8B6BB8BE78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Stabilité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Activité globale</c:v>
                </c:pt>
                <c:pt idx="1">
                  <c:v>Demande prévue</c:v>
                </c:pt>
                <c:pt idx="2">
                  <c:v>Prix de vente</c:v>
                </c:pt>
                <c:pt idx="3">
                  <c:v>Effectifs employés</c:v>
                </c:pt>
              </c:strCache>
            </c:strRef>
          </c:cat>
          <c:val>
            <c:numRef>
              <c:f>Feuil1!$C$2:$C$5</c:f>
              <c:numCache>
                <c:formatCode>General</c:formatCode>
                <c:ptCount val="4"/>
                <c:pt idx="0">
                  <c:v>42.290000000000013</c:v>
                </c:pt>
                <c:pt idx="1">
                  <c:v>52.48</c:v>
                </c:pt>
                <c:pt idx="2">
                  <c:v>69.290000000000006</c:v>
                </c:pt>
                <c:pt idx="3">
                  <c:v>78.13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9F2-4EFA-A574-1C8B6BB8BE78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Baisse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Activité globale</c:v>
                </c:pt>
                <c:pt idx="1">
                  <c:v>Demande prévue</c:v>
                </c:pt>
                <c:pt idx="2">
                  <c:v>Prix de vente</c:v>
                </c:pt>
                <c:pt idx="3">
                  <c:v>Effectifs employés</c:v>
                </c:pt>
              </c:strCache>
            </c:strRef>
          </c:cat>
          <c:val>
            <c:numRef>
              <c:f>Feuil1!$D$2:$D$5</c:f>
              <c:numCache>
                <c:formatCode>General</c:formatCode>
                <c:ptCount val="4"/>
                <c:pt idx="0">
                  <c:v>23.9</c:v>
                </c:pt>
                <c:pt idx="1">
                  <c:v>29.09</c:v>
                </c:pt>
                <c:pt idx="2">
                  <c:v>14.03</c:v>
                </c:pt>
                <c:pt idx="3">
                  <c:v>7.4700000000000015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9F2-4EFA-A574-1C8B6BB8BE78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solde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Activité globale</c:v>
                </c:pt>
                <c:pt idx="1">
                  <c:v>Demande prévue</c:v>
                </c:pt>
                <c:pt idx="2">
                  <c:v>Prix de vente</c:v>
                </c:pt>
                <c:pt idx="3">
                  <c:v>Effectifs employés</c:v>
                </c:pt>
              </c:strCache>
            </c:strRef>
          </c:cat>
          <c:val>
            <c:numRef>
              <c:f>Feuil1!$E$2:$E$5</c:f>
              <c:numCache>
                <c:formatCode>General</c:formatCode>
                <c:ptCount val="4"/>
                <c:pt idx="0">
                  <c:v>9.91</c:v>
                </c:pt>
                <c:pt idx="1">
                  <c:v>-10.66</c:v>
                </c:pt>
                <c:pt idx="2">
                  <c:v>2.66</c:v>
                </c:pt>
                <c:pt idx="3">
                  <c:v>6.9300000000000015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E9F2-4EFA-A574-1C8B6BB8BE7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102528"/>
        <c:axId val="1696105792"/>
      </c:barChart>
      <c:catAx>
        <c:axId val="1696102528"/>
        <c:scaling>
          <c:orientation val="minMax"/>
        </c:scaling>
        <c:delete val="0"/>
        <c:axPos val="b"/>
        <c:majorGridlines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sz="863" b="1">
                <a:solidFill>
                  <a:schemeClr val="tx1">
                    <a:lumMod val="65000"/>
                    <a:lumOff val="35000"/>
                  </a:schemeClr>
                </a:solidFill>
              </a:defRPr>
            </a:pPr>
            <a:endParaRPr lang="fr-FR"/>
          </a:p>
        </c:txPr>
        <c:crossAx val="1696105792"/>
        <c:crosses val="autoZero"/>
        <c:auto val="1"/>
        <c:lblAlgn val="ctr"/>
        <c:lblOffset val="100"/>
        <c:noMultiLvlLbl val="0"/>
      </c:catAx>
      <c:valAx>
        <c:axId val="169610579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69610252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1376140885615111"/>
          <c:y val="0.34419120686837223"/>
          <c:w val="0.18160900855135079"/>
          <c:h val="0.32262197994481584"/>
        </c:manualLayout>
      </c:layout>
      <c:overlay val="0"/>
      <c:txPr>
        <a:bodyPr/>
        <a:lstStyle/>
        <a:p>
          <a:pPr>
            <a:defRPr sz="801" b="1">
              <a:solidFill>
                <a:schemeClr val="tx1">
                  <a:lumMod val="65000"/>
                  <a:lumOff val="35000"/>
                </a:schemeClr>
              </a:solidFill>
            </a:defRPr>
          </a:pPr>
          <a:endParaRPr lang="fr-FR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fr-FR" sz="900"/>
              <a:t>Anticipations des grossistes</a:t>
            </a:r>
            <a:r>
              <a:rPr lang="fr-FR" sz="900" baseline="0"/>
              <a:t> </a:t>
            </a:r>
          </a:p>
          <a:p>
            <a:pPr>
              <a:defRPr/>
            </a:pPr>
            <a:r>
              <a:rPr lang="fr-FR" sz="900" baseline="0"/>
              <a:t>(</a:t>
            </a:r>
            <a:r>
              <a:rPr lang="fr-FR" sz="900"/>
              <a:t>proportions en %)</a:t>
            </a:r>
          </a:p>
        </c:rich>
      </c:tx>
      <c:layout>
        <c:manualLayout>
          <c:xMode val="edge"/>
          <c:yMode val="edge"/>
          <c:x val="0.23592987151115921"/>
          <c:y val="3.0251726226529427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1366990890844525"/>
          <c:y val="0.12706180563046071"/>
          <c:w val="0.70299368828896391"/>
          <c:h val="0.7660583180527096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Hausse</c:v>
                </c:pt>
              </c:strCache>
            </c:strRef>
          </c:tx>
          <c:invertIfNegative val="0"/>
          <c:cat>
            <c:strRef>
              <c:f>Feuil1!$A$2:$A$4</c:f>
              <c:strCache>
                <c:ptCount val="3"/>
                <c:pt idx="0">
                  <c:v>Volume des Ventes</c:v>
                </c:pt>
                <c:pt idx="1">
                  <c:v>Commandes prévues</c:v>
                </c:pt>
                <c:pt idx="2">
                  <c:v>Emploi</c:v>
                </c:pt>
              </c:strCache>
            </c:strRef>
          </c:cat>
          <c:val>
            <c:numRef>
              <c:f>Feuil1!$B$2:$B$4</c:f>
              <c:numCache>
                <c:formatCode>0</c:formatCode>
                <c:ptCount val="3"/>
                <c:pt idx="0">
                  <c:v>28.72</c:v>
                </c:pt>
                <c:pt idx="1">
                  <c:v>3.8699999999999997</c:v>
                </c:pt>
                <c:pt idx="2">
                  <c:v>4.6099999999999985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54D-4B32-AF42-BA94EF9EC3EA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Stabilité</c:v>
                </c:pt>
              </c:strCache>
            </c:strRef>
          </c:tx>
          <c:invertIfNegative val="0"/>
          <c:cat>
            <c:strRef>
              <c:f>Feuil1!$A$2:$A$4</c:f>
              <c:strCache>
                <c:ptCount val="3"/>
                <c:pt idx="0">
                  <c:v>Volume des Ventes</c:v>
                </c:pt>
                <c:pt idx="1">
                  <c:v>Commandes prévues</c:v>
                </c:pt>
                <c:pt idx="2">
                  <c:v>Emploi</c:v>
                </c:pt>
              </c:strCache>
            </c:strRef>
          </c:cat>
          <c:val>
            <c:numRef>
              <c:f>Feuil1!$C$2:$C$4</c:f>
              <c:numCache>
                <c:formatCode>0</c:formatCode>
                <c:ptCount val="3"/>
                <c:pt idx="0">
                  <c:v>59.17</c:v>
                </c:pt>
                <c:pt idx="1">
                  <c:v>80.349999999999994</c:v>
                </c:pt>
                <c:pt idx="2">
                  <c:v>91.27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54D-4B32-AF42-BA94EF9EC3EA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Baisse</c:v>
                </c:pt>
              </c:strCache>
            </c:strRef>
          </c:tx>
          <c:invertIfNegative val="0"/>
          <c:cat>
            <c:strRef>
              <c:f>Feuil1!$A$2:$A$4</c:f>
              <c:strCache>
                <c:ptCount val="3"/>
                <c:pt idx="0">
                  <c:v>Volume des Ventes</c:v>
                </c:pt>
                <c:pt idx="1">
                  <c:v>Commandes prévues</c:v>
                </c:pt>
                <c:pt idx="2">
                  <c:v>Emploi</c:v>
                </c:pt>
              </c:strCache>
            </c:strRef>
          </c:cat>
          <c:val>
            <c:numRef>
              <c:f>Feuil1!$D$2:$D$4</c:f>
              <c:numCache>
                <c:formatCode>0</c:formatCode>
                <c:ptCount val="3"/>
                <c:pt idx="0">
                  <c:v>12.05</c:v>
                </c:pt>
                <c:pt idx="1">
                  <c:v>15.78</c:v>
                </c:pt>
                <c:pt idx="2">
                  <c:v>4.1199999999999974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154D-4B32-AF42-BA94EF9EC3EA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Solde</c:v>
                </c:pt>
              </c:strCache>
            </c:strRef>
          </c:tx>
          <c:invertIfNegative val="0"/>
          <c:cat>
            <c:strRef>
              <c:f>Feuil1!$A$2:$A$4</c:f>
              <c:strCache>
                <c:ptCount val="3"/>
                <c:pt idx="0">
                  <c:v>Volume des Ventes</c:v>
                </c:pt>
                <c:pt idx="1">
                  <c:v>Commandes prévues</c:v>
                </c:pt>
                <c:pt idx="2">
                  <c:v>Emploi</c:v>
                </c:pt>
              </c:strCache>
            </c:strRef>
          </c:cat>
          <c:val>
            <c:numRef>
              <c:f>Feuil1!$E$2:$E$4</c:f>
              <c:numCache>
                <c:formatCode>0</c:formatCode>
                <c:ptCount val="3"/>
                <c:pt idx="0">
                  <c:v>16.670000000000005</c:v>
                </c:pt>
                <c:pt idx="1">
                  <c:v>-11.91</c:v>
                </c:pt>
                <c:pt idx="2">
                  <c:v>0.49000000000000016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154D-4B32-AF42-BA94EF9EC3E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128096"/>
        <c:axId val="1696106880"/>
      </c:barChart>
      <c:catAx>
        <c:axId val="1696128096"/>
        <c:scaling>
          <c:orientation val="minMax"/>
        </c:scaling>
        <c:delete val="0"/>
        <c:axPos val="b"/>
        <c:majorGridlines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sz="800" b="1"/>
            </a:pPr>
            <a:endParaRPr lang="fr-FR"/>
          </a:p>
        </c:txPr>
        <c:crossAx val="1696106880"/>
        <c:crosses val="autoZero"/>
        <c:auto val="1"/>
        <c:lblAlgn val="ctr"/>
        <c:lblOffset val="10"/>
        <c:noMultiLvlLbl val="0"/>
      </c:catAx>
      <c:valAx>
        <c:axId val="1696106880"/>
        <c:scaling>
          <c:orientation val="minMax"/>
        </c:scaling>
        <c:delete val="0"/>
        <c:axPos val="l"/>
        <c:majorGridlines/>
        <c:numFmt formatCode="0" sourceLinked="1"/>
        <c:majorTickMark val="none"/>
        <c:minorTickMark val="none"/>
        <c:tickLblPos val="nextTo"/>
        <c:crossAx val="1696128096"/>
        <c:crossesAt val="1"/>
        <c:crossBetween val="between"/>
      </c:valAx>
    </c:plotArea>
    <c:legend>
      <c:legendPos val="r"/>
      <c:layout>
        <c:manualLayout>
          <c:xMode val="edge"/>
          <c:yMode val="edge"/>
          <c:x val="0.81783576072598752"/>
          <c:y val="0.34474589137896267"/>
          <c:w val="0.17862865181068066"/>
          <c:h val="0.24868774480113082"/>
        </c:manualLayout>
      </c:layout>
      <c:overlay val="0"/>
      <c:txPr>
        <a:bodyPr/>
        <a:lstStyle/>
        <a:p>
          <a:pPr>
            <a:defRPr sz="800" b="1"/>
          </a:pPr>
          <a:endParaRPr lang="fr-FR"/>
        </a:p>
      </c:txPr>
    </c:legend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F40D9A-1CB1-4FBB-BF9C-B0FE7CF89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2685</Characters>
  <Application>Microsoft Office Word</Application>
  <DocSecurity>0</DocSecurity>
  <Lines>22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 hamoumi saniyya</dc:creator>
  <cp:lastModifiedBy>Fainine</cp:lastModifiedBy>
  <cp:revision>2</cp:revision>
  <cp:lastPrinted>2021-12-27T09:26:00Z</cp:lastPrinted>
  <dcterms:created xsi:type="dcterms:W3CDTF">2022-05-16T15:38:00Z</dcterms:created>
  <dcterms:modified xsi:type="dcterms:W3CDTF">2022-05-16T15:38:00Z</dcterms:modified>
</cp:coreProperties>
</file>